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2CE9" w:rsidRDefault="00712CE9" w:rsidP="003E130A">
      <w:pPr>
        <w:pStyle w:val="Default"/>
        <w:tabs>
          <w:tab w:val="right" w:pos="10080"/>
        </w:tabs>
        <w:suppressAutoHyphens/>
        <w:spacing w:line="270" w:lineRule="exact"/>
        <w:jc w:val="both"/>
        <w:rPr>
          <w:sz w:val="20"/>
          <w:szCs w:val="20"/>
          <w:lang w:val="es-MX"/>
        </w:rPr>
      </w:pPr>
    </w:p>
    <w:p w:rsidR="003E130A" w:rsidRPr="00897105" w:rsidRDefault="003E130A" w:rsidP="003E130A">
      <w:pPr>
        <w:pStyle w:val="Default"/>
        <w:tabs>
          <w:tab w:val="right" w:pos="10080"/>
        </w:tabs>
        <w:suppressAutoHyphens/>
        <w:spacing w:line="270" w:lineRule="exact"/>
        <w:jc w:val="both"/>
        <w:rPr>
          <w:sz w:val="20"/>
          <w:szCs w:val="20"/>
          <w:lang w:val="es-MX"/>
        </w:rPr>
      </w:pPr>
      <w:r>
        <w:rPr>
          <w:sz w:val="20"/>
          <w:szCs w:val="20"/>
          <w:lang w:val="es-MX"/>
        </w:rPr>
        <w:t>Buenos Aires</w:t>
      </w:r>
      <w:r w:rsidRPr="00897105">
        <w:rPr>
          <w:sz w:val="20"/>
          <w:szCs w:val="20"/>
          <w:lang w:val="es-MX"/>
        </w:rPr>
        <w:t xml:space="preserve">, </w:t>
      </w:r>
      <w:r>
        <w:rPr>
          <w:sz w:val="20"/>
          <w:szCs w:val="20"/>
          <w:lang w:val="es-MX"/>
        </w:rPr>
        <w:t>28 de octubre</w:t>
      </w:r>
      <w:r w:rsidRPr="00897105">
        <w:rPr>
          <w:sz w:val="20"/>
          <w:szCs w:val="20"/>
          <w:lang w:val="es-MX"/>
        </w:rPr>
        <w:t xml:space="preserve"> de 20</w:t>
      </w:r>
      <w:r>
        <w:rPr>
          <w:sz w:val="20"/>
          <w:szCs w:val="20"/>
          <w:lang w:val="es-MX"/>
        </w:rPr>
        <w:t>20</w:t>
      </w:r>
    </w:p>
    <w:p w:rsidR="00884861" w:rsidRDefault="00884861" w:rsidP="009946C2">
      <w:pPr>
        <w:spacing w:before="240" w:after="240"/>
        <w:ind w:right="-119"/>
        <w:rPr>
          <w:rFonts w:ascii="Arial" w:hAnsi="Arial" w:cs="Arial"/>
          <w:b/>
          <w:bCs/>
          <w:lang w:val="es-ES" w:eastAsia="ar-SA"/>
        </w:rPr>
      </w:pPr>
    </w:p>
    <w:p w:rsidR="009946C2" w:rsidRDefault="00F515C8" w:rsidP="009946C2">
      <w:pPr>
        <w:spacing w:before="240" w:after="240"/>
        <w:ind w:right="-119"/>
        <w:rPr>
          <w:rFonts w:ascii="Arial" w:hAnsi="Arial" w:cs="Arial"/>
          <w:b/>
          <w:bCs/>
          <w:lang w:val="es-ES" w:eastAsia="ar-SA"/>
        </w:rPr>
      </w:pPr>
      <w:r w:rsidRPr="003E130A">
        <w:rPr>
          <w:rFonts w:ascii="Arial" w:hAnsi="Arial" w:cs="Arial"/>
          <w:b/>
          <w:bCs/>
          <w:lang w:val="es-ES" w:eastAsia="ar-SA"/>
        </w:rPr>
        <w:t>Coface anuncia un ingreso neto de 28,5 millones de euros en el tercer trimestre y lanza un programa de recompra de acciones por 15 millones de euros</w:t>
      </w:r>
      <w:r w:rsidR="006F4154" w:rsidRPr="003E130A">
        <w:rPr>
          <w:rFonts w:ascii="Arial" w:hAnsi="Arial" w:cs="Arial"/>
          <w:b/>
          <w:bCs/>
          <w:lang w:val="es-ES" w:eastAsia="ar-SA"/>
        </w:rPr>
        <w:t>*</w:t>
      </w:r>
    </w:p>
    <w:p w:rsidR="00884861" w:rsidRPr="003E130A" w:rsidRDefault="00884861" w:rsidP="009946C2">
      <w:pPr>
        <w:spacing w:before="240" w:after="240"/>
        <w:ind w:right="-119"/>
        <w:rPr>
          <w:rFonts w:ascii="Arial" w:hAnsi="Arial" w:cs="Arial"/>
          <w:b/>
          <w:bCs/>
          <w:lang w:val="es-ES" w:eastAsia="ar-SA"/>
        </w:rPr>
      </w:pPr>
    </w:p>
    <w:p w:rsidR="009946C2" w:rsidRPr="003E130A" w:rsidRDefault="00F515C8" w:rsidP="00F515C8">
      <w:pPr>
        <w:widowControl/>
        <w:numPr>
          <w:ilvl w:val="0"/>
          <w:numId w:val="15"/>
        </w:numPr>
        <w:tabs>
          <w:tab w:val="num" w:pos="3600"/>
        </w:tabs>
        <w:spacing w:before="120" w:after="100" w:afterAutospacing="1" w:line="276" w:lineRule="auto"/>
        <w:jc w:val="both"/>
        <w:rPr>
          <w:rFonts w:ascii="Arial" w:hAnsi="Arial" w:cs="Arial"/>
          <w:b/>
          <w:bCs/>
          <w:sz w:val="20"/>
          <w:szCs w:val="20"/>
          <w:lang w:val="es-ES" w:eastAsia="ar-SA"/>
        </w:rPr>
      </w:pPr>
      <w:r w:rsidRPr="003E130A">
        <w:rPr>
          <w:rFonts w:ascii="Arial" w:hAnsi="Arial" w:cs="Arial"/>
          <w:b/>
          <w:bCs/>
          <w:sz w:val="20"/>
          <w:szCs w:val="20"/>
          <w:lang w:val="es-ES" w:eastAsia="ar-SA"/>
        </w:rPr>
        <w:t xml:space="preserve">Volumen de negocios en los primeros nueve meses: 1.082 millones de euros, con un descenso del -0,9% a </w:t>
      </w:r>
      <w:r w:rsidR="006A251E">
        <w:rPr>
          <w:rFonts w:ascii="Arial" w:hAnsi="Arial" w:cs="Arial"/>
          <w:b/>
          <w:bCs/>
          <w:sz w:val="20"/>
          <w:szCs w:val="20"/>
          <w:lang w:val="es-ES" w:eastAsia="ar-SA"/>
        </w:rPr>
        <w:t>tipo de cambio</w:t>
      </w:r>
      <w:r w:rsidRPr="003E130A">
        <w:rPr>
          <w:rFonts w:ascii="Arial" w:hAnsi="Arial" w:cs="Arial"/>
          <w:b/>
          <w:bCs/>
          <w:sz w:val="20"/>
          <w:szCs w:val="20"/>
          <w:lang w:val="es-ES" w:eastAsia="ar-SA"/>
        </w:rPr>
        <w:t xml:space="preserve"> y perímetro constantes debido a las actividades de los clientes, y un descenso del -2,2% en el tercer trimestre de 2020.</w:t>
      </w:r>
    </w:p>
    <w:p w:rsidR="00F515C8" w:rsidRPr="003E130A" w:rsidRDefault="00F515C8" w:rsidP="00F515C8">
      <w:pPr>
        <w:widowControl/>
        <w:numPr>
          <w:ilvl w:val="1"/>
          <w:numId w:val="15"/>
        </w:numPr>
        <w:tabs>
          <w:tab w:val="clear" w:pos="1080"/>
          <w:tab w:val="num" w:pos="567"/>
          <w:tab w:val="num" w:pos="2880"/>
        </w:tabs>
        <w:spacing w:before="100" w:beforeAutospacing="1" w:after="100" w:afterAutospacing="1" w:line="276" w:lineRule="auto"/>
        <w:ind w:left="567" w:hanging="283"/>
        <w:jc w:val="both"/>
        <w:rPr>
          <w:rFonts w:ascii="Arial" w:hAnsi="Arial" w:cs="Arial"/>
          <w:bCs/>
          <w:sz w:val="20"/>
          <w:szCs w:val="20"/>
          <w:lang w:val="es-ES" w:eastAsia="ar-SA"/>
        </w:rPr>
      </w:pPr>
      <w:r w:rsidRPr="003E130A">
        <w:rPr>
          <w:rFonts w:ascii="Arial" w:hAnsi="Arial" w:cs="Arial"/>
          <w:bCs/>
          <w:sz w:val="20"/>
          <w:szCs w:val="20"/>
          <w:lang w:val="es-ES" w:eastAsia="ar-SA"/>
        </w:rPr>
        <w:t>Retención de clientes y nuevos negocios a niveles récord, con una producción neta positiva de 36,9 millones de euros</w:t>
      </w:r>
    </w:p>
    <w:p w:rsidR="00F515C8" w:rsidRPr="003E130A" w:rsidRDefault="00F515C8" w:rsidP="00F515C8">
      <w:pPr>
        <w:widowControl/>
        <w:numPr>
          <w:ilvl w:val="1"/>
          <w:numId w:val="15"/>
        </w:numPr>
        <w:tabs>
          <w:tab w:val="clear" w:pos="1080"/>
          <w:tab w:val="num" w:pos="567"/>
          <w:tab w:val="num" w:pos="2880"/>
        </w:tabs>
        <w:spacing w:before="100" w:beforeAutospacing="1" w:after="100" w:afterAutospacing="1" w:line="276" w:lineRule="auto"/>
        <w:ind w:left="567" w:hanging="283"/>
        <w:jc w:val="both"/>
        <w:rPr>
          <w:rFonts w:ascii="Arial" w:hAnsi="Arial" w:cs="Arial"/>
          <w:bCs/>
          <w:sz w:val="20"/>
          <w:szCs w:val="20"/>
          <w:lang w:val="es-ES" w:eastAsia="ar-SA"/>
        </w:rPr>
      </w:pPr>
      <w:r w:rsidRPr="003E130A">
        <w:rPr>
          <w:rFonts w:ascii="Arial" w:hAnsi="Arial" w:cs="Arial"/>
          <w:bCs/>
          <w:sz w:val="20"/>
          <w:szCs w:val="20"/>
          <w:lang w:val="es-ES" w:eastAsia="ar-SA"/>
        </w:rPr>
        <w:t>Se confirma la dinámica positiva de los precios (+1%) en un entorno de incertidumbre continua</w:t>
      </w:r>
    </w:p>
    <w:p w:rsidR="009946C2" w:rsidRPr="003E130A" w:rsidRDefault="00F515C8" w:rsidP="00F515C8">
      <w:pPr>
        <w:widowControl/>
        <w:numPr>
          <w:ilvl w:val="1"/>
          <w:numId w:val="15"/>
        </w:numPr>
        <w:tabs>
          <w:tab w:val="clear" w:pos="1080"/>
          <w:tab w:val="num" w:pos="567"/>
          <w:tab w:val="num" w:pos="2880"/>
        </w:tabs>
        <w:spacing w:before="100" w:beforeAutospacing="1" w:after="100" w:afterAutospacing="1" w:line="276" w:lineRule="auto"/>
        <w:ind w:left="567" w:hanging="283"/>
        <w:jc w:val="both"/>
        <w:rPr>
          <w:rFonts w:ascii="Arial" w:hAnsi="Arial" w:cs="Arial"/>
          <w:bCs/>
          <w:sz w:val="20"/>
          <w:szCs w:val="20"/>
          <w:lang w:val="es-ES" w:eastAsia="ar-SA"/>
        </w:rPr>
      </w:pPr>
      <w:r w:rsidRPr="003E130A">
        <w:rPr>
          <w:rFonts w:ascii="Arial" w:hAnsi="Arial" w:cs="Arial"/>
          <w:bCs/>
          <w:sz w:val="20"/>
          <w:szCs w:val="20"/>
          <w:lang w:val="es-ES" w:eastAsia="ar-SA"/>
        </w:rPr>
        <w:t>Desaceleración de las actividades de los clientes - como se preveía</w:t>
      </w:r>
    </w:p>
    <w:p w:rsidR="009946C2" w:rsidRPr="003E130A" w:rsidRDefault="006A251E" w:rsidP="00A97CA9">
      <w:pPr>
        <w:widowControl/>
        <w:numPr>
          <w:ilvl w:val="0"/>
          <w:numId w:val="15"/>
        </w:numPr>
        <w:tabs>
          <w:tab w:val="num" w:pos="3600"/>
        </w:tabs>
        <w:spacing w:before="120" w:after="100" w:afterAutospacing="1" w:line="276" w:lineRule="auto"/>
        <w:jc w:val="both"/>
        <w:rPr>
          <w:rFonts w:ascii="Arial" w:hAnsi="Arial" w:cs="Arial"/>
          <w:b/>
          <w:bCs/>
          <w:sz w:val="20"/>
          <w:szCs w:val="20"/>
          <w:lang w:val="es-ES" w:eastAsia="ar-SA"/>
        </w:rPr>
      </w:pPr>
      <w:r>
        <w:rPr>
          <w:rFonts w:ascii="Arial" w:hAnsi="Arial" w:cs="Arial"/>
          <w:b/>
          <w:bCs/>
          <w:sz w:val="20"/>
          <w:szCs w:val="20"/>
          <w:lang w:val="es-ES" w:eastAsia="ar-SA"/>
        </w:rPr>
        <w:t xml:space="preserve">El </w:t>
      </w:r>
      <w:proofErr w:type="spellStart"/>
      <w:r>
        <w:rPr>
          <w:rFonts w:ascii="Arial" w:hAnsi="Arial" w:cs="Arial"/>
          <w:b/>
          <w:bCs/>
          <w:sz w:val="20"/>
          <w:szCs w:val="20"/>
          <w:lang w:val="es-ES" w:eastAsia="ar-SA"/>
        </w:rPr>
        <w:t>loss</w:t>
      </w:r>
      <w:proofErr w:type="spellEnd"/>
      <w:r>
        <w:rPr>
          <w:rFonts w:ascii="Arial" w:hAnsi="Arial" w:cs="Arial"/>
          <w:b/>
          <w:bCs/>
          <w:sz w:val="20"/>
          <w:szCs w:val="20"/>
          <w:lang w:val="es-ES" w:eastAsia="ar-SA"/>
        </w:rPr>
        <w:t xml:space="preserve"> ratio</w:t>
      </w:r>
      <w:r w:rsidR="00A97CA9" w:rsidRPr="003E130A">
        <w:rPr>
          <w:rFonts w:ascii="Arial" w:hAnsi="Arial" w:cs="Arial"/>
          <w:b/>
          <w:bCs/>
          <w:sz w:val="20"/>
          <w:szCs w:val="20"/>
          <w:lang w:val="es-ES" w:eastAsia="ar-SA"/>
        </w:rPr>
        <w:t xml:space="preserve"> net</w:t>
      </w:r>
      <w:r>
        <w:rPr>
          <w:rFonts w:ascii="Arial" w:hAnsi="Arial" w:cs="Arial"/>
          <w:b/>
          <w:bCs/>
          <w:sz w:val="20"/>
          <w:szCs w:val="20"/>
          <w:lang w:val="es-ES" w:eastAsia="ar-SA"/>
        </w:rPr>
        <w:t>o</w:t>
      </w:r>
      <w:r w:rsidR="00A97CA9" w:rsidRPr="003E130A">
        <w:rPr>
          <w:rFonts w:ascii="Arial" w:hAnsi="Arial" w:cs="Arial"/>
          <w:b/>
          <w:bCs/>
          <w:sz w:val="20"/>
          <w:szCs w:val="20"/>
          <w:lang w:val="es-ES" w:eastAsia="ar-SA"/>
        </w:rPr>
        <w:t xml:space="preserve"> de 9M-2020 aumentó en 10,1 puntos </w:t>
      </w:r>
      <w:r>
        <w:rPr>
          <w:rFonts w:ascii="Arial" w:hAnsi="Arial" w:cs="Arial"/>
          <w:b/>
          <w:bCs/>
          <w:sz w:val="20"/>
          <w:szCs w:val="20"/>
          <w:lang w:val="es-ES" w:eastAsia="ar-SA"/>
        </w:rPr>
        <w:t xml:space="preserve">hasta </w:t>
      </w:r>
      <w:r w:rsidR="00A97CA9" w:rsidRPr="003E130A">
        <w:rPr>
          <w:rFonts w:ascii="Arial" w:hAnsi="Arial" w:cs="Arial"/>
          <w:b/>
          <w:bCs/>
          <w:sz w:val="20"/>
          <w:szCs w:val="20"/>
          <w:lang w:val="es-ES" w:eastAsia="ar-SA"/>
        </w:rPr>
        <w:t xml:space="preserve">55,2%; </w:t>
      </w:r>
      <w:proofErr w:type="gramStart"/>
      <w:r>
        <w:rPr>
          <w:rFonts w:ascii="Arial" w:hAnsi="Arial" w:cs="Arial"/>
          <w:b/>
          <w:bCs/>
          <w:sz w:val="20"/>
          <w:szCs w:val="20"/>
          <w:lang w:val="es-ES" w:eastAsia="ar-SA"/>
        </w:rPr>
        <w:t>el ratio</w:t>
      </w:r>
      <w:proofErr w:type="gramEnd"/>
      <w:r>
        <w:rPr>
          <w:rFonts w:ascii="Arial" w:hAnsi="Arial" w:cs="Arial"/>
          <w:b/>
          <w:bCs/>
          <w:sz w:val="20"/>
          <w:szCs w:val="20"/>
          <w:lang w:val="es-ES" w:eastAsia="ar-SA"/>
        </w:rPr>
        <w:t xml:space="preserve"> combinado neto</w:t>
      </w:r>
      <w:r w:rsidR="00A97CA9" w:rsidRPr="003E130A">
        <w:rPr>
          <w:rFonts w:ascii="Arial" w:hAnsi="Arial" w:cs="Arial"/>
          <w:b/>
          <w:bCs/>
          <w:sz w:val="20"/>
          <w:szCs w:val="20"/>
          <w:lang w:val="es-ES" w:eastAsia="ar-SA"/>
        </w:rPr>
        <w:t xml:space="preserve"> aumentó en 8,5 puntos </w:t>
      </w:r>
      <w:r>
        <w:rPr>
          <w:rFonts w:ascii="Arial" w:hAnsi="Arial" w:cs="Arial"/>
          <w:b/>
          <w:bCs/>
          <w:sz w:val="20"/>
          <w:szCs w:val="20"/>
          <w:lang w:val="es-ES" w:eastAsia="ar-SA"/>
        </w:rPr>
        <w:t>hasta</w:t>
      </w:r>
      <w:r w:rsidR="00B41508">
        <w:rPr>
          <w:rFonts w:ascii="Arial" w:hAnsi="Arial" w:cs="Arial"/>
          <w:b/>
          <w:bCs/>
          <w:sz w:val="20"/>
          <w:szCs w:val="20"/>
          <w:lang w:val="es-ES" w:eastAsia="ar-SA"/>
        </w:rPr>
        <w:t xml:space="preserve"> 85,3%</w:t>
      </w:r>
    </w:p>
    <w:p w:rsidR="00A97CA9" w:rsidRPr="003E130A" w:rsidRDefault="006A251E" w:rsidP="00A97CA9">
      <w:pPr>
        <w:widowControl/>
        <w:numPr>
          <w:ilvl w:val="1"/>
          <w:numId w:val="15"/>
        </w:numPr>
        <w:tabs>
          <w:tab w:val="clear" w:pos="1080"/>
          <w:tab w:val="num" w:pos="2880"/>
        </w:tabs>
        <w:spacing w:before="100" w:beforeAutospacing="1" w:after="100" w:afterAutospacing="1" w:line="276" w:lineRule="auto"/>
        <w:ind w:left="567" w:hanging="283"/>
        <w:jc w:val="both"/>
        <w:rPr>
          <w:rFonts w:ascii="Arial" w:hAnsi="Arial" w:cs="Arial"/>
          <w:bCs/>
          <w:sz w:val="20"/>
          <w:szCs w:val="20"/>
          <w:lang w:val="es-ES" w:eastAsia="ar-SA"/>
        </w:rPr>
      </w:pPr>
      <w:r>
        <w:rPr>
          <w:rFonts w:ascii="Arial" w:hAnsi="Arial" w:cs="Arial"/>
          <w:bCs/>
          <w:sz w:val="20"/>
          <w:szCs w:val="20"/>
          <w:lang w:val="es-ES" w:eastAsia="ar-SA"/>
        </w:rPr>
        <w:t xml:space="preserve">El </w:t>
      </w:r>
      <w:proofErr w:type="spellStart"/>
      <w:r>
        <w:rPr>
          <w:rFonts w:ascii="Arial" w:hAnsi="Arial" w:cs="Arial"/>
          <w:bCs/>
          <w:sz w:val="20"/>
          <w:szCs w:val="20"/>
          <w:lang w:val="es-ES" w:eastAsia="ar-SA"/>
        </w:rPr>
        <w:t>loss</w:t>
      </w:r>
      <w:proofErr w:type="spellEnd"/>
      <w:r>
        <w:rPr>
          <w:rFonts w:ascii="Arial" w:hAnsi="Arial" w:cs="Arial"/>
          <w:bCs/>
          <w:sz w:val="20"/>
          <w:szCs w:val="20"/>
          <w:lang w:val="es-ES" w:eastAsia="ar-SA"/>
        </w:rPr>
        <w:t xml:space="preserve"> ratio neto</w:t>
      </w:r>
      <w:r w:rsidR="00A97CA9" w:rsidRPr="003E130A">
        <w:rPr>
          <w:rFonts w:ascii="Arial" w:hAnsi="Arial" w:cs="Arial"/>
          <w:bCs/>
          <w:sz w:val="20"/>
          <w:szCs w:val="20"/>
          <w:lang w:val="es-ES" w:eastAsia="ar-SA"/>
        </w:rPr>
        <w:t xml:space="preserve"> del tercer trimestre </w:t>
      </w:r>
      <w:r w:rsidR="00B41508">
        <w:rPr>
          <w:rFonts w:ascii="Arial" w:hAnsi="Arial" w:cs="Arial"/>
          <w:bCs/>
          <w:sz w:val="20"/>
          <w:szCs w:val="20"/>
          <w:lang w:val="es-ES" w:eastAsia="ar-SA"/>
        </w:rPr>
        <w:t>de</w:t>
      </w:r>
      <w:r w:rsidR="00A97CA9" w:rsidRPr="003E130A">
        <w:rPr>
          <w:rFonts w:ascii="Arial" w:hAnsi="Arial" w:cs="Arial"/>
          <w:bCs/>
          <w:sz w:val="20"/>
          <w:szCs w:val="20"/>
          <w:lang w:val="es-ES" w:eastAsia="ar-SA"/>
        </w:rPr>
        <w:t xml:space="preserve"> 2020 es del 50%, con una sub</w:t>
      </w:r>
      <w:r w:rsidR="00B41508">
        <w:rPr>
          <w:rFonts w:ascii="Arial" w:hAnsi="Arial" w:cs="Arial"/>
          <w:bCs/>
          <w:sz w:val="20"/>
          <w:szCs w:val="20"/>
          <w:lang w:val="es-ES" w:eastAsia="ar-SA"/>
        </w:rPr>
        <w:t>a</w:t>
      </w:r>
      <w:r w:rsidR="00A97CA9" w:rsidRPr="003E130A">
        <w:rPr>
          <w:rFonts w:ascii="Arial" w:hAnsi="Arial" w:cs="Arial"/>
          <w:bCs/>
          <w:sz w:val="20"/>
          <w:szCs w:val="20"/>
          <w:lang w:val="es-ES" w:eastAsia="ar-SA"/>
        </w:rPr>
        <w:t xml:space="preserve"> de 2,8 puntos porcentuales respecto al tercer trimestre de </w:t>
      </w:r>
      <w:r>
        <w:rPr>
          <w:rFonts w:ascii="Arial" w:hAnsi="Arial" w:cs="Arial"/>
          <w:bCs/>
          <w:sz w:val="20"/>
          <w:szCs w:val="20"/>
          <w:lang w:val="es-ES" w:eastAsia="ar-SA"/>
        </w:rPr>
        <w:t>20</w:t>
      </w:r>
      <w:r w:rsidR="00A97CA9" w:rsidRPr="003E130A">
        <w:rPr>
          <w:rFonts w:ascii="Arial" w:hAnsi="Arial" w:cs="Arial"/>
          <w:bCs/>
          <w:sz w:val="20"/>
          <w:szCs w:val="20"/>
          <w:lang w:val="es-ES" w:eastAsia="ar-SA"/>
        </w:rPr>
        <w:t>19, pero una baja de 7,4 puntos porcentuales respecto al primer semestre del 2020, lo que refleja</w:t>
      </w:r>
      <w:r w:rsidR="00B41508">
        <w:rPr>
          <w:rFonts w:ascii="Arial" w:hAnsi="Arial" w:cs="Arial"/>
          <w:bCs/>
          <w:sz w:val="20"/>
          <w:szCs w:val="20"/>
          <w:lang w:val="es-ES" w:eastAsia="ar-SA"/>
        </w:rPr>
        <w:t xml:space="preserve"> una baja actividad de pérdidas</w:t>
      </w:r>
    </w:p>
    <w:p w:rsidR="00A97CA9" w:rsidRPr="003E130A" w:rsidRDefault="00A97CA9" w:rsidP="00A97CA9">
      <w:pPr>
        <w:widowControl/>
        <w:numPr>
          <w:ilvl w:val="1"/>
          <w:numId w:val="15"/>
        </w:numPr>
        <w:tabs>
          <w:tab w:val="clear" w:pos="1080"/>
          <w:tab w:val="num" w:pos="2880"/>
        </w:tabs>
        <w:spacing w:before="100" w:beforeAutospacing="1" w:after="100" w:afterAutospacing="1" w:line="276" w:lineRule="auto"/>
        <w:ind w:left="567" w:hanging="283"/>
        <w:jc w:val="both"/>
        <w:rPr>
          <w:rFonts w:ascii="Arial" w:hAnsi="Arial" w:cs="Arial"/>
          <w:bCs/>
          <w:sz w:val="20"/>
          <w:szCs w:val="20"/>
          <w:lang w:val="es-ES" w:eastAsia="ar-SA"/>
        </w:rPr>
      </w:pPr>
      <w:proofErr w:type="gramStart"/>
      <w:r w:rsidRPr="003E130A">
        <w:rPr>
          <w:rFonts w:ascii="Arial" w:hAnsi="Arial" w:cs="Arial"/>
          <w:bCs/>
          <w:sz w:val="20"/>
          <w:szCs w:val="20"/>
          <w:lang w:val="es-ES" w:eastAsia="ar-SA"/>
        </w:rPr>
        <w:t>El ratio</w:t>
      </w:r>
      <w:proofErr w:type="gramEnd"/>
      <w:r w:rsidRPr="003E130A">
        <w:rPr>
          <w:rFonts w:ascii="Arial" w:hAnsi="Arial" w:cs="Arial"/>
          <w:bCs/>
          <w:sz w:val="20"/>
          <w:szCs w:val="20"/>
          <w:lang w:val="es-ES" w:eastAsia="ar-SA"/>
        </w:rPr>
        <w:t xml:space="preserve"> de cost</w:t>
      </w:r>
      <w:r w:rsidR="00B41508">
        <w:rPr>
          <w:rFonts w:ascii="Arial" w:hAnsi="Arial" w:cs="Arial"/>
          <w:bCs/>
          <w:sz w:val="20"/>
          <w:szCs w:val="20"/>
          <w:lang w:val="es-ES" w:eastAsia="ar-SA"/>
        </w:rPr>
        <w:t>o</w:t>
      </w:r>
      <w:r w:rsidRPr="003E130A">
        <w:rPr>
          <w:rFonts w:ascii="Arial" w:hAnsi="Arial" w:cs="Arial"/>
          <w:bCs/>
          <w:sz w:val="20"/>
          <w:szCs w:val="20"/>
          <w:lang w:val="es-ES" w:eastAsia="ar-SA"/>
        </w:rPr>
        <w:t xml:space="preserve">s netos de 9M 2020 mejoró en 1,6 </w:t>
      </w:r>
      <w:proofErr w:type="spellStart"/>
      <w:r w:rsidRPr="003E130A">
        <w:rPr>
          <w:rFonts w:ascii="Arial" w:hAnsi="Arial" w:cs="Arial"/>
          <w:bCs/>
          <w:sz w:val="20"/>
          <w:szCs w:val="20"/>
          <w:lang w:val="es-ES" w:eastAsia="ar-SA"/>
        </w:rPr>
        <w:t>ppt</w:t>
      </w:r>
      <w:proofErr w:type="spellEnd"/>
      <w:r w:rsidRPr="003E130A">
        <w:rPr>
          <w:rFonts w:ascii="Arial" w:hAnsi="Arial" w:cs="Arial"/>
          <w:bCs/>
          <w:sz w:val="20"/>
          <w:szCs w:val="20"/>
          <w:lang w:val="es-ES" w:eastAsia="ar-SA"/>
        </w:rPr>
        <w:t xml:space="preserve"> a 30,1%, reflejando los </w:t>
      </w:r>
      <w:r w:rsidR="00B41508">
        <w:rPr>
          <w:rFonts w:ascii="Arial" w:hAnsi="Arial" w:cs="Arial"/>
          <w:bCs/>
          <w:sz w:val="20"/>
          <w:szCs w:val="20"/>
          <w:lang w:val="es-ES" w:eastAsia="ar-SA"/>
        </w:rPr>
        <w:t>continuos controles de costo</w:t>
      </w:r>
      <w:r w:rsidRPr="003E130A">
        <w:rPr>
          <w:rFonts w:ascii="Arial" w:hAnsi="Arial" w:cs="Arial"/>
          <w:bCs/>
          <w:sz w:val="20"/>
          <w:szCs w:val="20"/>
          <w:lang w:val="es-ES" w:eastAsia="ar-SA"/>
        </w:rPr>
        <w:t>s</w:t>
      </w:r>
    </w:p>
    <w:p w:rsidR="00A97CA9" w:rsidRPr="003E130A" w:rsidRDefault="00B41508" w:rsidP="00A97CA9">
      <w:pPr>
        <w:widowControl/>
        <w:numPr>
          <w:ilvl w:val="1"/>
          <w:numId w:val="15"/>
        </w:numPr>
        <w:tabs>
          <w:tab w:val="clear" w:pos="1080"/>
          <w:tab w:val="num" w:pos="2880"/>
        </w:tabs>
        <w:spacing w:before="100" w:beforeAutospacing="1" w:after="100" w:afterAutospacing="1" w:line="276" w:lineRule="auto"/>
        <w:ind w:left="567" w:hanging="283"/>
        <w:jc w:val="both"/>
        <w:rPr>
          <w:rFonts w:ascii="Arial" w:hAnsi="Arial" w:cs="Arial"/>
          <w:bCs/>
          <w:sz w:val="20"/>
          <w:szCs w:val="20"/>
          <w:lang w:val="es-ES" w:eastAsia="ar-SA"/>
        </w:rPr>
      </w:pPr>
      <w:r>
        <w:rPr>
          <w:rFonts w:ascii="Arial" w:hAnsi="Arial" w:cs="Arial"/>
          <w:bCs/>
          <w:sz w:val="20"/>
          <w:szCs w:val="20"/>
          <w:lang w:val="es-ES" w:eastAsia="ar-SA"/>
        </w:rPr>
        <w:t>Ratio combinado neto</w:t>
      </w:r>
      <w:r w:rsidR="00A97CA9" w:rsidRPr="003E130A">
        <w:rPr>
          <w:rFonts w:ascii="Arial" w:hAnsi="Arial" w:cs="Arial"/>
          <w:bCs/>
          <w:sz w:val="20"/>
          <w:szCs w:val="20"/>
          <w:lang w:val="es-ES" w:eastAsia="ar-SA"/>
        </w:rPr>
        <w:t xml:space="preserve"> del 77,4% para el tercer trimestre de 2020, beneficiándose en 6,8 puntos porcentuales del impacto temporal de los planes gubernamentales</w:t>
      </w:r>
    </w:p>
    <w:p w:rsidR="009946C2" w:rsidRPr="003E130A" w:rsidRDefault="00A97CA9" w:rsidP="00A97CA9">
      <w:pPr>
        <w:widowControl/>
        <w:numPr>
          <w:ilvl w:val="1"/>
          <w:numId w:val="15"/>
        </w:numPr>
        <w:tabs>
          <w:tab w:val="clear" w:pos="1080"/>
          <w:tab w:val="num" w:pos="2880"/>
        </w:tabs>
        <w:spacing w:before="100" w:beforeAutospacing="1" w:after="100" w:afterAutospacing="1" w:line="276" w:lineRule="auto"/>
        <w:ind w:left="567" w:hanging="283"/>
        <w:jc w:val="both"/>
        <w:rPr>
          <w:rFonts w:ascii="Arial" w:hAnsi="Arial" w:cs="Arial"/>
          <w:bCs/>
          <w:sz w:val="20"/>
          <w:szCs w:val="20"/>
          <w:lang w:val="es-ES" w:eastAsia="ar-SA"/>
        </w:rPr>
      </w:pPr>
      <w:r w:rsidRPr="003E130A">
        <w:rPr>
          <w:rFonts w:ascii="Arial" w:hAnsi="Arial" w:cs="Arial"/>
          <w:bCs/>
          <w:sz w:val="20"/>
          <w:szCs w:val="20"/>
          <w:lang w:val="es-ES" w:eastAsia="ar-SA"/>
        </w:rPr>
        <w:t xml:space="preserve">En el tercer trimestre de 2020, los planes gubernamentales mejoraron </w:t>
      </w:r>
      <w:proofErr w:type="gramStart"/>
      <w:r w:rsidR="005A3931">
        <w:rPr>
          <w:rFonts w:ascii="Arial" w:hAnsi="Arial" w:cs="Arial"/>
          <w:bCs/>
          <w:sz w:val="20"/>
          <w:szCs w:val="20"/>
          <w:lang w:val="es-ES" w:eastAsia="ar-SA"/>
        </w:rPr>
        <w:t>el ratio</w:t>
      </w:r>
      <w:proofErr w:type="gramEnd"/>
      <w:r w:rsidRPr="003E130A">
        <w:rPr>
          <w:rFonts w:ascii="Arial" w:hAnsi="Arial" w:cs="Arial"/>
          <w:bCs/>
          <w:sz w:val="20"/>
          <w:szCs w:val="20"/>
          <w:lang w:val="es-ES" w:eastAsia="ar-SA"/>
        </w:rPr>
        <w:t xml:space="preserve"> de costo</w:t>
      </w:r>
      <w:r w:rsidR="005A3931">
        <w:rPr>
          <w:rFonts w:ascii="Arial" w:hAnsi="Arial" w:cs="Arial"/>
          <w:bCs/>
          <w:sz w:val="20"/>
          <w:szCs w:val="20"/>
          <w:lang w:val="es-ES" w:eastAsia="ar-SA"/>
        </w:rPr>
        <w:t>s</w:t>
      </w:r>
      <w:r w:rsidRPr="003E130A">
        <w:rPr>
          <w:rFonts w:ascii="Arial" w:hAnsi="Arial" w:cs="Arial"/>
          <w:bCs/>
          <w:sz w:val="20"/>
          <w:szCs w:val="20"/>
          <w:lang w:val="es-ES" w:eastAsia="ar-SA"/>
        </w:rPr>
        <w:t xml:space="preserve"> neto en 1,1 </w:t>
      </w:r>
      <w:proofErr w:type="spellStart"/>
      <w:r w:rsidRPr="003E130A">
        <w:rPr>
          <w:rFonts w:ascii="Arial" w:hAnsi="Arial" w:cs="Arial"/>
          <w:bCs/>
          <w:sz w:val="20"/>
          <w:szCs w:val="20"/>
          <w:lang w:val="es-ES" w:eastAsia="ar-SA"/>
        </w:rPr>
        <w:t>ppt</w:t>
      </w:r>
      <w:proofErr w:type="spellEnd"/>
      <w:r w:rsidRPr="003E130A">
        <w:rPr>
          <w:rFonts w:ascii="Arial" w:hAnsi="Arial" w:cs="Arial"/>
          <w:bCs/>
          <w:sz w:val="20"/>
          <w:szCs w:val="20"/>
          <w:lang w:val="es-ES" w:eastAsia="ar-SA"/>
        </w:rPr>
        <w:t xml:space="preserve"> y </w:t>
      </w:r>
      <w:r w:rsidR="005A3931">
        <w:rPr>
          <w:rFonts w:ascii="Arial" w:hAnsi="Arial" w:cs="Arial"/>
          <w:bCs/>
          <w:sz w:val="20"/>
          <w:szCs w:val="20"/>
          <w:lang w:val="es-ES" w:eastAsia="ar-SA"/>
        </w:rPr>
        <w:t xml:space="preserve">el </w:t>
      </w:r>
      <w:proofErr w:type="spellStart"/>
      <w:r w:rsidR="005A3931">
        <w:rPr>
          <w:rFonts w:ascii="Arial" w:hAnsi="Arial" w:cs="Arial"/>
          <w:bCs/>
          <w:sz w:val="20"/>
          <w:szCs w:val="20"/>
          <w:lang w:val="es-ES" w:eastAsia="ar-SA"/>
        </w:rPr>
        <w:t>loss</w:t>
      </w:r>
      <w:proofErr w:type="spellEnd"/>
      <w:r w:rsidR="005A3931">
        <w:rPr>
          <w:rFonts w:ascii="Arial" w:hAnsi="Arial" w:cs="Arial"/>
          <w:bCs/>
          <w:sz w:val="20"/>
          <w:szCs w:val="20"/>
          <w:lang w:val="es-ES" w:eastAsia="ar-SA"/>
        </w:rPr>
        <w:t xml:space="preserve"> ratio</w:t>
      </w:r>
      <w:r w:rsidRPr="003E130A">
        <w:rPr>
          <w:rFonts w:ascii="Arial" w:hAnsi="Arial" w:cs="Arial"/>
          <w:bCs/>
          <w:sz w:val="20"/>
          <w:szCs w:val="20"/>
          <w:lang w:val="es-ES" w:eastAsia="ar-SA"/>
        </w:rPr>
        <w:t xml:space="preserve"> net</w:t>
      </w:r>
      <w:r w:rsidR="005A3931">
        <w:rPr>
          <w:rFonts w:ascii="Arial" w:hAnsi="Arial" w:cs="Arial"/>
          <w:bCs/>
          <w:sz w:val="20"/>
          <w:szCs w:val="20"/>
          <w:lang w:val="es-ES" w:eastAsia="ar-SA"/>
        </w:rPr>
        <w:t>o</w:t>
      </w:r>
      <w:r w:rsidRPr="003E130A">
        <w:rPr>
          <w:rFonts w:ascii="Arial" w:hAnsi="Arial" w:cs="Arial"/>
          <w:bCs/>
          <w:sz w:val="20"/>
          <w:szCs w:val="20"/>
          <w:lang w:val="es-ES" w:eastAsia="ar-SA"/>
        </w:rPr>
        <w:t xml:space="preserve"> en 5,7 </w:t>
      </w:r>
      <w:proofErr w:type="spellStart"/>
      <w:r w:rsidRPr="003E130A">
        <w:rPr>
          <w:rFonts w:ascii="Arial" w:hAnsi="Arial" w:cs="Arial"/>
          <w:bCs/>
          <w:sz w:val="20"/>
          <w:szCs w:val="20"/>
          <w:lang w:val="es-ES" w:eastAsia="ar-SA"/>
        </w:rPr>
        <w:t>ppt</w:t>
      </w:r>
      <w:proofErr w:type="spellEnd"/>
      <w:r w:rsidRPr="003E130A">
        <w:rPr>
          <w:rFonts w:ascii="Arial" w:hAnsi="Arial" w:cs="Arial"/>
          <w:bCs/>
          <w:sz w:val="20"/>
          <w:szCs w:val="20"/>
          <w:lang w:val="es-ES" w:eastAsia="ar-SA"/>
        </w:rPr>
        <w:t xml:space="preserve">. Sin embargo, el impacto en el beneficio antes de impuestos es negativo en -1 </w:t>
      </w:r>
      <w:r w:rsidR="005A3931" w:rsidRPr="003E130A">
        <w:rPr>
          <w:rFonts w:ascii="Arial" w:hAnsi="Arial" w:cs="Arial"/>
          <w:bCs/>
          <w:sz w:val="20"/>
          <w:szCs w:val="20"/>
          <w:lang w:val="es-ES" w:eastAsia="ar-SA"/>
        </w:rPr>
        <w:t>millon</w:t>
      </w:r>
      <w:r w:rsidR="005A3931">
        <w:rPr>
          <w:rFonts w:ascii="Arial" w:hAnsi="Arial" w:cs="Arial"/>
          <w:bCs/>
          <w:sz w:val="20"/>
          <w:szCs w:val="20"/>
          <w:lang w:val="es-ES" w:eastAsia="ar-SA"/>
        </w:rPr>
        <w:t xml:space="preserve">es </w:t>
      </w:r>
      <w:r w:rsidRPr="003E130A">
        <w:rPr>
          <w:rFonts w:ascii="Arial" w:hAnsi="Arial" w:cs="Arial"/>
          <w:bCs/>
          <w:sz w:val="20"/>
          <w:szCs w:val="20"/>
          <w:lang w:val="es-ES" w:eastAsia="ar-SA"/>
        </w:rPr>
        <w:t xml:space="preserve">de euros en el </w:t>
      </w:r>
      <w:r w:rsidR="005A3931">
        <w:rPr>
          <w:rFonts w:ascii="Arial" w:hAnsi="Arial" w:cs="Arial"/>
          <w:bCs/>
          <w:sz w:val="20"/>
          <w:szCs w:val="20"/>
          <w:lang w:val="es-ES" w:eastAsia="ar-SA"/>
        </w:rPr>
        <w:t xml:space="preserve">tercer trimestre </w:t>
      </w:r>
      <w:r w:rsidRPr="003E130A">
        <w:rPr>
          <w:rFonts w:ascii="Arial" w:hAnsi="Arial" w:cs="Arial"/>
          <w:bCs/>
          <w:sz w:val="20"/>
          <w:szCs w:val="20"/>
          <w:lang w:val="es-ES" w:eastAsia="ar-SA"/>
        </w:rPr>
        <w:t>2020, y positivo en 7 millones de euros en lo que va de año.</w:t>
      </w:r>
    </w:p>
    <w:p w:rsidR="009946C2" w:rsidRPr="003E130A" w:rsidRDefault="00A97CA9" w:rsidP="00A97CA9">
      <w:pPr>
        <w:widowControl/>
        <w:numPr>
          <w:ilvl w:val="0"/>
          <w:numId w:val="15"/>
        </w:numPr>
        <w:tabs>
          <w:tab w:val="num" w:pos="3600"/>
        </w:tabs>
        <w:spacing w:before="120" w:after="100" w:afterAutospacing="1" w:line="276" w:lineRule="auto"/>
        <w:jc w:val="both"/>
        <w:rPr>
          <w:rFonts w:ascii="Arial" w:hAnsi="Arial" w:cs="Arial"/>
          <w:b/>
          <w:bCs/>
          <w:sz w:val="20"/>
          <w:szCs w:val="20"/>
          <w:lang w:val="es-ES" w:eastAsia="ar-SA"/>
        </w:rPr>
      </w:pPr>
      <w:r w:rsidRPr="003E130A">
        <w:rPr>
          <w:rFonts w:ascii="Arial" w:hAnsi="Arial" w:cs="Arial"/>
          <w:b/>
          <w:bCs/>
          <w:sz w:val="20"/>
          <w:szCs w:val="20"/>
          <w:lang w:val="es-ES" w:eastAsia="ar-SA"/>
        </w:rPr>
        <w:t>Ingresos netos (participación del grupo) de 52,4 millones de euros, de los cuales 28,5 millones de euros en el tercer trimestre de 2020</w:t>
      </w:r>
    </w:p>
    <w:p w:rsidR="009946C2" w:rsidRPr="003E130A" w:rsidRDefault="00A97CA9" w:rsidP="00A97CA9">
      <w:pPr>
        <w:widowControl/>
        <w:numPr>
          <w:ilvl w:val="1"/>
          <w:numId w:val="15"/>
        </w:numPr>
        <w:tabs>
          <w:tab w:val="clear" w:pos="1080"/>
          <w:tab w:val="num" w:pos="2880"/>
        </w:tabs>
        <w:spacing w:before="100" w:beforeAutospacing="1" w:after="100" w:afterAutospacing="1" w:line="276" w:lineRule="auto"/>
        <w:ind w:left="567" w:hanging="283"/>
        <w:jc w:val="both"/>
        <w:rPr>
          <w:rFonts w:ascii="Arial" w:hAnsi="Arial" w:cs="Arial"/>
          <w:bCs/>
          <w:sz w:val="20"/>
          <w:szCs w:val="20"/>
          <w:lang w:val="es-ES" w:eastAsia="ar-SA"/>
        </w:rPr>
      </w:pPr>
      <w:r w:rsidRPr="003E130A">
        <w:rPr>
          <w:rFonts w:ascii="Arial" w:hAnsi="Arial" w:cs="Arial"/>
          <w:bCs/>
          <w:sz w:val="20"/>
          <w:szCs w:val="20"/>
          <w:lang w:val="es-ES" w:eastAsia="ar-SA"/>
        </w:rPr>
        <w:t>Como se esperaba, los ingresos del tercer trimestre del 2020 se beneficiaron de un impacto positivo no recurrente de 8,9 millones de euros (</w:t>
      </w:r>
      <w:r w:rsidR="00FF3BD1" w:rsidRPr="003E130A">
        <w:rPr>
          <w:rFonts w:ascii="Arial" w:hAnsi="Arial" w:cs="Arial"/>
          <w:bCs/>
          <w:sz w:val="20"/>
          <w:szCs w:val="20"/>
          <w:lang w:val="es-ES" w:eastAsia="ar-SA"/>
        </w:rPr>
        <w:t>beneficio de adquicisión</w:t>
      </w:r>
      <w:r w:rsidR="0000439E" w:rsidRPr="003E130A">
        <w:rPr>
          <w:rFonts w:ascii="Arial" w:hAnsi="Arial" w:cs="Arial"/>
          <w:bCs/>
          <w:sz w:val="20"/>
          <w:szCs w:val="20"/>
          <w:vertAlign w:val="superscript"/>
          <w:lang w:val="es-ES" w:eastAsia="ar-SA"/>
        </w:rPr>
        <w:t>1</w:t>
      </w:r>
      <w:r w:rsidR="0000439E" w:rsidRPr="003E130A">
        <w:rPr>
          <w:rFonts w:ascii="Arial" w:hAnsi="Arial" w:cs="Arial"/>
          <w:bCs/>
          <w:sz w:val="20"/>
          <w:szCs w:val="20"/>
          <w:lang w:val="es-ES" w:eastAsia="ar-SA"/>
        </w:rPr>
        <w:t xml:space="preserve">) </w:t>
      </w:r>
      <w:r w:rsidRPr="003E130A">
        <w:rPr>
          <w:rFonts w:ascii="Arial" w:hAnsi="Arial" w:cs="Arial"/>
          <w:bCs/>
          <w:sz w:val="20"/>
          <w:szCs w:val="20"/>
          <w:lang w:val="es-ES" w:eastAsia="ar-SA"/>
        </w:rPr>
        <w:t>relacionado con la adquisición de Coface GK en Noruega</w:t>
      </w:r>
    </w:p>
    <w:p w:rsidR="009946C2" w:rsidRPr="003E130A" w:rsidRDefault="009946C2" w:rsidP="009946C2">
      <w:pPr>
        <w:widowControl/>
        <w:numPr>
          <w:ilvl w:val="0"/>
          <w:numId w:val="15"/>
        </w:numPr>
        <w:tabs>
          <w:tab w:val="clear" w:pos="360"/>
          <w:tab w:val="num" w:pos="284"/>
          <w:tab w:val="num" w:pos="3600"/>
        </w:tabs>
        <w:spacing w:before="120" w:after="100" w:afterAutospacing="1" w:line="276" w:lineRule="auto"/>
        <w:ind w:left="714" w:hanging="714"/>
        <w:jc w:val="both"/>
        <w:rPr>
          <w:rFonts w:ascii="Arial" w:hAnsi="Arial" w:cs="Arial"/>
          <w:b/>
          <w:bCs/>
          <w:sz w:val="20"/>
          <w:szCs w:val="20"/>
          <w:lang w:eastAsia="ar-SA"/>
        </w:rPr>
      </w:pPr>
      <w:r w:rsidRPr="003E130A">
        <w:rPr>
          <w:rFonts w:ascii="Arial" w:hAnsi="Arial" w:cs="Arial"/>
          <w:b/>
          <w:bCs/>
          <w:sz w:val="20"/>
          <w:szCs w:val="20"/>
          <w:lang w:eastAsia="ar-SA"/>
        </w:rPr>
        <w:t>RoATE</w:t>
      </w:r>
      <w:r w:rsidRPr="003E130A">
        <w:rPr>
          <w:rFonts w:ascii="Arial" w:hAnsi="Arial" w:cs="Arial"/>
          <w:b/>
          <w:bCs/>
          <w:sz w:val="20"/>
          <w:szCs w:val="20"/>
          <w:vertAlign w:val="superscript"/>
          <w:lang w:eastAsia="ar-SA"/>
        </w:rPr>
        <w:t>2</w:t>
      </w:r>
      <w:r w:rsidRPr="003E130A">
        <w:rPr>
          <w:rFonts w:ascii="Arial" w:hAnsi="Arial" w:cs="Arial"/>
          <w:b/>
          <w:bCs/>
          <w:sz w:val="20"/>
          <w:szCs w:val="20"/>
          <w:lang w:eastAsia="ar-SA"/>
        </w:rPr>
        <w:t xml:space="preserve"> </w:t>
      </w:r>
      <w:proofErr w:type="spellStart"/>
      <w:r w:rsidR="00A97CA9" w:rsidRPr="003E130A">
        <w:rPr>
          <w:rFonts w:ascii="Arial" w:hAnsi="Arial" w:cs="Arial"/>
          <w:b/>
          <w:bCs/>
          <w:sz w:val="20"/>
          <w:szCs w:val="20"/>
          <w:lang w:eastAsia="ar-SA"/>
        </w:rPr>
        <w:t>anualizado</w:t>
      </w:r>
      <w:proofErr w:type="spellEnd"/>
      <w:r w:rsidR="00A97CA9" w:rsidRPr="003E130A">
        <w:rPr>
          <w:rFonts w:ascii="Arial" w:hAnsi="Arial" w:cs="Arial"/>
          <w:b/>
          <w:bCs/>
          <w:sz w:val="20"/>
          <w:szCs w:val="20"/>
          <w:lang w:eastAsia="ar-SA"/>
        </w:rPr>
        <w:t xml:space="preserve"> de</w:t>
      </w:r>
      <w:r w:rsidRPr="003E130A">
        <w:rPr>
          <w:rFonts w:ascii="Arial" w:hAnsi="Arial" w:cs="Arial"/>
          <w:b/>
          <w:bCs/>
          <w:sz w:val="20"/>
          <w:szCs w:val="20"/>
          <w:lang w:eastAsia="ar-SA"/>
        </w:rPr>
        <w:t xml:space="preserve"> </w:t>
      </w:r>
      <w:r w:rsidR="0000439E" w:rsidRPr="003E130A">
        <w:rPr>
          <w:rFonts w:ascii="Arial" w:hAnsi="Arial" w:cs="Arial"/>
          <w:b/>
          <w:bCs/>
          <w:sz w:val="20"/>
          <w:szCs w:val="20"/>
          <w:lang w:eastAsia="ar-SA"/>
        </w:rPr>
        <w:t>4</w:t>
      </w:r>
      <w:r w:rsidRPr="003E130A">
        <w:rPr>
          <w:rFonts w:ascii="Arial" w:hAnsi="Arial" w:cs="Arial"/>
          <w:b/>
          <w:bCs/>
          <w:sz w:val="20"/>
          <w:szCs w:val="20"/>
          <w:lang w:eastAsia="ar-SA"/>
        </w:rPr>
        <w:t>.</w:t>
      </w:r>
      <w:r w:rsidR="0000439E" w:rsidRPr="003E130A">
        <w:rPr>
          <w:rFonts w:ascii="Arial" w:hAnsi="Arial" w:cs="Arial"/>
          <w:b/>
          <w:bCs/>
          <w:sz w:val="20"/>
          <w:szCs w:val="20"/>
          <w:lang w:eastAsia="ar-SA"/>
        </w:rPr>
        <w:t>1</w:t>
      </w:r>
      <w:r w:rsidRPr="003E130A">
        <w:rPr>
          <w:rFonts w:ascii="Arial" w:hAnsi="Arial" w:cs="Arial"/>
          <w:b/>
          <w:bCs/>
          <w:sz w:val="20"/>
          <w:szCs w:val="20"/>
          <w:lang w:eastAsia="ar-SA"/>
        </w:rPr>
        <w:t>%</w:t>
      </w:r>
    </w:p>
    <w:p w:rsidR="009946C2" w:rsidRPr="003E130A" w:rsidRDefault="00890EB0" w:rsidP="00890EB0">
      <w:pPr>
        <w:widowControl/>
        <w:numPr>
          <w:ilvl w:val="0"/>
          <w:numId w:val="15"/>
        </w:numPr>
        <w:tabs>
          <w:tab w:val="num" w:pos="3600"/>
        </w:tabs>
        <w:spacing w:before="120" w:after="100" w:afterAutospacing="1" w:line="276" w:lineRule="auto"/>
        <w:jc w:val="both"/>
        <w:rPr>
          <w:rFonts w:ascii="Arial" w:hAnsi="Arial" w:cs="Arial"/>
          <w:b/>
          <w:bCs/>
          <w:sz w:val="20"/>
          <w:szCs w:val="20"/>
          <w:lang w:val="es-ES" w:eastAsia="ar-SA"/>
        </w:rPr>
      </w:pPr>
      <w:r w:rsidRPr="003E130A">
        <w:rPr>
          <w:rFonts w:ascii="Arial" w:hAnsi="Arial" w:cs="Arial"/>
          <w:b/>
          <w:bCs/>
          <w:sz w:val="20"/>
          <w:szCs w:val="20"/>
          <w:lang w:val="es-ES" w:eastAsia="ar-SA"/>
        </w:rPr>
        <w:t>El sólido balance y los positivos KPI operativos permiten lanzar un programa de recompra de acciones por un importe máximo de 15 millones de euros</w:t>
      </w:r>
    </w:p>
    <w:p w:rsidR="00AE11C8" w:rsidRPr="003E130A" w:rsidRDefault="00FF3BD1" w:rsidP="009946C2">
      <w:pPr>
        <w:widowControl/>
        <w:tabs>
          <w:tab w:val="num" w:pos="2880"/>
        </w:tabs>
        <w:jc w:val="right"/>
        <w:rPr>
          <w:rFonts w:ascii="Arial" w:hAnsi="Arial" w:cs="Arial"/>
          <w:bCs/>
          <w:i/>
          <w:sz w:val="14"/>
          <w:szCs w:val="14"/>
          <w:lang w:val="es-ES" w:eastAsia="ar-SA"/>
        </w:rPr>
      </w:pPr>
      <w:r w:rsidRPr="003E130A">
        <w:rPr>
          <w:rFonts w:ascii="Arial" w:hAnsi="Arial" w:cs="Arial"/>
          <w:bCs/>
          <w:i/>
          <w:sz w:val="14"/>
          <w:szCs w:val="21"/>
          <w:lang w:val="es-ES" w:eastAsia="ar-SA"/>
        </w:rPr>
        <w:t>A menos que se indique lo contrario, las evoluciones se expresan por comparación con los resultados al 30 de septiembre de 2019.</w:t>
      </w:r>
    </w:p>
    <w:p w:rsidR="006F4154" w:rsidRPr="003E130A" w:rsidRDefault="006F4154" w:rsidP="009946C2">
      <w:pPr>
        <w:widowControl/>
        <w:tabs>
          <w:tab w:val="num" w:pos="2880"/>
        </w:tabs>
        <w:jc w:val="right"/>
        <w:rPr>
          <w:rFonts w:ascii="Arial" w:hAnsi="Arial" w:cs="Arial"/>
          <w:bCs/>
          <w:i/>
          <w:sz w:val="14"/>
          <w:szCs w:val="14"/>
          <w:lang w:val="es-ES" w:eastAsia="ar-SA"/>
        </w:rPr>
      </w:pPr>
      <w:r w:rsidRPr="003E130A">
        <w:rPr>
          <w:rFonts w:ascii="Arial" w:hAnsi="Arial" w:cs="Arial"/>
          <w:bCs/>
          <w:i/>
          <w:sz w:val="14"/>
          <w:szCs w:val="14"/>
          <w:lang w:val="es-ES" w:eastAsia="ar-SA"/>
        </w:rPr>
        <w:t xml:space="preserve">* </w:t>
      </w:r>
      <w:r w:rsidR="00FF3BD1" w:rsidRPr="003E130A">
        <w:rPr>
          <w:rFonts w:ascii="Arial" w:hAnsi="Arial" w:cs="Arial"/>
          <w:bCs/>
          <w:i/>
          <w:sz w:val="14"/>
          <w:szCs w:val="14"/>
          <w:lang w:val="es-ES" w:eastAsia="ar-SA"/>
        </w:rPr>
        <w:t>Lanzamiento de un programa de recompra de acciones por un importe máximo de 15 millones de euros o 2,4 millones de acciones.</w:t>
      </w:r>
    </w:p>
    <w:p w:rsidR="006F4154" w:rsidRPr="003E130A" w:rsidRDefault="008F4AF7" w:rsidP="008F4AF7">
      <w:pPr>
        <w:widowControl/>
        <w:tabs>
          <w:tab w:val="num" w:pos="2880"/>
        </w:tabs>
        <w:jc w:val="right"/>
        <w:rPr>
          <w:rFonts w:ascii="Arial" w:hAnsi="Arial" w:cs="Arial"/>
          <w:bCs/>
          <w:i/>
          <w:sz w:val="14"/>
          <w:szCs w:val="14"/>
          <w:lang w:val="es-ES" w:eastAsia="ar-SA"/>
        </w:rPr>
      </w:pPr>
      <w:r w:rsidRPr="003E130A">
        <w:rPr>
          <w:rFonts w:ascii="Arial" w:hAnsi="Arial" w:cs="Arial"/>
          <w:bCs/>
          <w:i/>
          <w:sz w:val="14"/>
          <w:szCs w:val="14"/>
          <w:vertAlign w:val="superscript"/>
          <w:lang w:val="es-ES" w:eastAsia="ar-SA"/>
        </w:rPr>
        <w:t>1</w:t>
      </w:r>
      <w:r w:rsidRPr="003E130A">
        <w:rPr>
          <w:rFonts w:ascii="Arial" w:hAnsi="Arial" w:cs="Arial"/>
          <w:bCs/>
          <w:i/>
          <w:sz w:val="14"/>
          <w:szCs w:val="14"/>
          <w:lang w:val="es-ES" w:eastAsia="ar-SA"/>
        </w:rPr>
        <w:t xml:space="preserve"> </w:t>
      </w:r>
      <w:r w:rsidR="00FF3BD1" w:rsidRPr="003E130A">
        <w:rPr>
          <w:rFonts w:ascii="Arial" w:hAnsi="Arial" w:cs="Arial"/>
          <w:bCs/>
          <w:i/>
          <w:sz w:val="14"/>
          <w:szCs w:val="14"/>
          <w:lang w:val="es-ES" w:eastAsia="ar-SA"/>
        </w:rPr>
        <w:t>El beneficio de adquisición se basa en estimaciones preliminares y podría variar en espera del análisis final</w:t>
      </w:r>
    </w:p>
    <w:p w:rsidR="008F4AF7" w:rsidRPr="003E130A" w:rsidRDefault="008F4AF7" w:rsidP="008F4AF7">
      <w:pPr>
        <w:widowControl/>
        <w:tabs>
          <w:tab w:val="num" w:pos="2880"/>
        </w:tabs>
        <w:jc w:val="right"/>
        <w:rPr>
          <w:rFonts w:ascii="Arial" w:eastAsia="Times New Roman" w:hAnsi="Arial" w:cs="Arial"/>
          <w:sz w:val="14"/>
          <w:szCs w:val="14"/>
          <w:lang w:val="es-ES"/>
        </w:rPr>
      </w:pPr>
      <w:r w:rsidRPr="003E130A">
        <w:rPr>
          <w:rFonts w:ascii="Arial" w:hAnsi="Arial" w:cs="Arial"/>
          <w:bCs/>
          <w:i/>
          <w:sz w:val="14"/>
          <w:szCs w:val="14"/>
          <w:vertAlign w:val="superscript"/>
          <w:lang w:val="es-ES" w:eastAsia="ar-SA"/>
        </w:rPr>
        <w:t>2</w:t>
      </w:r>
      <w:r w:rsidRPr="003E130A">
        <w:rPr>
          <w:rFonts w:ascii="Arial" w:hAnsi="Arial" w:cs="Arial"/>
          <w:bCs/>
          <w:i/>
          <w:sz w:val="14"/>
          <w:szCs w:val="14"/>
          <w:lang w:val="es-ES" w:eastAsia="ar-SA"/>
        </w:rPr>
        <w:t xml:space="preserve"> </w:t>
      </w:r>
      <w:proofErr w:type="spellStart"/>
      <w:r w:rsidR="00A97CA9" w:rsidRPr="003E130A">
        <w:rPr>
          <w:rFonts w:ascii="Arial" w:hAnsi="Arial" w:cs="Arial"/>
          <w:bCs/>
          <w:i/>
          <w:sz w:val="14"/>
          <w:szCs w:val="14"/>
          <w:lang w:val="es-ES" w:eastAsia="ar-SA"/>
        </w:rPr>
        <w:t>RoATE</w:t>
      </w:r>
      <w:proofErr w:type="spellEnd"/>
      <w:r w:rsidR="00A97CA9" w:rsidRPr="003E130A">
        <w:rPr>
          <w:rFonts w:ascii="Arial" w:hAnsi="Arial" w:cs="Arial"/>
          <w:bCs/>
          <w:i/>
          <w:sz w:val="14"/>
          <w:szCs w:val="14"/>
          <w:lang w:val="es-ES" w:eastAsia="ar-SA"/>
        </w:rPr>
        <w:t xml:space="preserve"> = </w:t>
      </w:r>
      <w:proofErr w:type="spellStart"/>
      <w:r w:rsidR="00A97CA9" w:rsidRPr="003E130A">
        <w:rPr>
          <w:rFonts w:ascii="Arial" w:hAnsi="Arial" w:cs="Arial"/>
          <w:bCs/>
          <w:i/>
          <w:sz w:val="14"/>
          <w:szCs w:val="14"/>
          <w:lang w:val="es-ES" w:eastAsia="ar-SA"/>
        </w:rPr>
        <w:t>Return</w:t>
      </w:r>
      <w:proofErr w:type="spellEnd"/>
      <w:r w:rsidR="00A97CA9" w:rsidRPr="003E130A">
        <w:rPr>
          <w:rFonts w:ascii="Arial" w:hAnsi="Arial" w:cs="Arial"/>
          <w:bCs/>
          <w:i/>
          <w:sz w:val="14"/>
          <w:szCs w:val="14"/>
          <w:lang w:val="es-ES" w:eastAsia="ar-SA"/>
        </w:rPr>
        <w:t xml:space="preserve"> </w:t>
      </w:r>
      <w:proofErr w:type="spellStart"/>
      <w:r w:rsidR="00A97CA9" w:rsidRPr="003E130A">
        <w:rPr>
          <w:rFonts w:ascii="Arial" w:hAnsi="Arial" w:cs="Arial"/>
          <w:bCs/>
          <w:i/>
          <w:sz w:val="14"/>
          <w:szCs w:val="14"/>
          <w:lang w:val="es-ES" w:eastAsia="ar-SA"/>
        </w:rPr>
        <w:t>on</w:t>
      </w:r>
      <w:proofErr w:type="spellEnd"/>
      <w:r w:rsidR="00A97CA9" w:rsidRPr="003E130A">
        <w:rPr>
          <w:rFonts w:ascii="Arial" w:hAnsi="Arial" w:cs="Arial"/>
          <w:bCs/>
          <w:i/>
          <w:sz w:val="14"/>
          <w:szCs w:val="14"/>
          <w:lang w:val="es-ES" w:eastAsia="ar-SA"/>
        </w:rPr>
        <w:t xml:space="preserve"> </w:t>
      </w:r>
      <w:proofErr w:type="spellStart"/>
      <w:r w:rsidR="00A97CA9" w:rsidRPr="003E130A">
        <w:rPr>
          <w:rFonts w:ascii="Arial" w:hAnsi="Arial" w:cs="Arial"/>
          <w:bCs/>
          <w:i/>
          <w:sz w:val="14"/>
          <w:szCs w:val="14"/>
          <w:lang w:val="es-ES" w:eastAsia="ar-SA"/>
        </w:rPr>
        <w:t>a</w:t>
      </w:r>
      <w:r w:rsidRPr="003E130A">
        <w:rPr>
          <w:rFonts w:ascii="Arial" w:hAnsi="Arial" w:cs="Arial"/>
          <w:bCs/>
          <w:i/>
          <w:sz w:val="14"/>
          <w:szCs w:val="14"/>
          <w:lang w:val="es-ES" w:eastAsia="ar-SA"/>
        </w:rPr>
        <w:t>verage</w:t>
      </w:r>
      <w:proofErr w:type="spellEnd"/>
      <w:r w:rsidRPr="003E130A">
        <w:rPr>
          <w:rFonts w:ascii="Arial" w:hAnsi="Arial" w:cs="Arial"/>
          <w:bCs/>
          <w:i/>
          <w:sz w:val="14"/>
          <w:szCs w:val="14"/>
          <w:lang w:val="es-ES" w:eastAsia="ar-SA"/>
        </w:rPr>
        <w:t xml:space="preserve"> </w:t>
      </w:r>
      <w:r w:rsidR="00A97CA9" w:rsidRPr="003E130A">
        <w:rPr>
          <w:rFonts w:ascii="Arial" w:hAnsi="Arial" w:cs="Arial"/>
          <w:bCs/>
          <w:i/>
          <w:sz w:val="14"/>
          <w:szCs w:val="14"/>
          <w:lang w:val="es-ES" w:eastAsia="ar-SA"/>
        </w:rPr>
        <w:t>tangible</w:t>
      </w:r>
      <w:r w:rsidRPr="003E130A">
        <w:rPr>
          <w:rFonts w:ascii="Arial" w:hAnsi="Arial" w:cs="Arial"/>
          <w:bCs/>
          <w:i/>
          <w:sz w:val="14"/>
          <w:szCs w:val="14"/>
          <w:lang w:val="es-ES" w:eastAsia="ar-SA"/>
        </w:rPr>
        <w:t xml:space="preserve"> </w:t>
      </w:r>
      <w:proofErr w:type="spellStart"/>
      <w:r w:rsidRPr="003E130A">
        <w:rPr>
          <w:rFonts w:ascii="Arial" w:hAnsi="Arial" w:cs="Arial"/>
          <w:bCs/>
          <w:i/>
          <w:sz w:val="14"/>
          <w:szCs w:val="14"/>
          <w:lang w:val="es-ES" w:eastAsia="ar-SA"/>
        </w:rPr>
        <w:t>equity</w:t>
      </w:r>
      <w:proofErr w:type="spellEnd"/>
      <w:r w:rsidR="00A97CA9" w:rsidRPr="003E130A">
        <w:rPr>
          <w:rFonts w:ascii="Arial" w:hAnsi="Arial" w:cs="Arial"/>
          <w:bCs/>
          <w:i/>
          <w:sz w:val="14"/>
          <w:szCs w:val="14"/>
          <w:lang w:val="es-ES" w:eastAsia="ar-SA"/>
        </w:rPr>
        <w:t>- Retorno sobre el capital tangible promedio</w:t>
      </w:r>
    </w:p>
    <w:p w:rsidR="00F807DA" w:rsidRPr="003E130A" w:rsidRDefault="00F807DA" w:rsidP="003D0FE0">
      <w:pPr>
        <w:widowControl/>
        <w:tabs>
          <w:tab w:val="num" w:pos="2880"/>
        </w:tabs>
        <w:jc w:val="right"/>
        <w:rPr>
          <w:rFonts w:ascii="Arial" w:hAnsi="Arial" w:cs="Arial"/>
          <w:bCs/>
          <w:i/>
          <w:sz w:val="14"/>
          <w:szCs w:val="21"/>
          <w:lang w:val="es-ES" w:eastAsia="ar-SA"/>
        </w:rPr>
      </w:pPr>
    </w:p>
    <w:p w:rsidR="009946C2" w:rsidRPr="003E130A" w:rsidRDefault="00890EB0" w:rsidP="009946C2">
      <w:pPr>
        <w:suppressAutoHyphens/>
        <w:spacing w:after="120" w:line="276" w:lineRule="auto"/>
        <w:jc w:val="both"/>
        <w:rPr>
          <w:rFonts w:ascii="Arial" w:hAnsi="Arial" w:cs="Arial"/>
          <w:b/>
          <w:bCs/>
          <w:sz w:val="20"/>
          <w:szCs w:val="20"/>
          <w:lang w:val="es-ES" w:eastAsia="ar-SA"/>
        </w:rPr>
      </w:pPr>
      <w:r w:rsidRPr="003E130A">
        <w:rPr>
          <w:rFonts w:ascii="Arial" w:hAnsi="Arial" w:cs="Arial"/>
          <w:b/>
          <w:bCs/>
          <w:sz w:val="20"/>
          <w:szCs w:val="20"/>
          <w:lang w:val="es-ES" w:eastAsia="ar-SA"/>
        </w:rPr>
        <w:t>Xavier Durand, CEO de Coface, comentó</w:t>
      </w:r>
      <w:r w:rsidR="009946C2" w:rsidRPr="003E130A">
        <w:rPr>
          <w:rFonts w:ascii="Arial" w:hAnsi="Arial" w:cs="Arial"/>
          <w:b/>
          <w:bCs/>
          <w:sz w:val="20"/>
          <w:szCs w:val="20"/>
          <w:lang w:val="es-ES" w:eastAsia="ar-SA"/>
        </w:rPr>
        <w:t>:</w:t>
      </w:r>
    </w:p>
    <w:p w:rsidR="00FF3BD1" w:rsidRPr="003E130A" w:rsidRDefault="009946C2" w:rsidP="00FF3BD1">
      <w:pPr>
        <w:suppressAutoHyphens/>
        <w:spacing w:line="276" w:lineRule="auto"/>
        <w:jc w:val="both"/>
        <w:rPr>
          <w:rFonts w:ascii="Arial" w:hAnsi="Arial" w:cs="Arial"/>
          <w:bCs/>
          <w:i/>
          <w:sz w:val="20"/>
          <w:szCs w:val="20"/>
          <w:lang w:val="es-ES" w:eastAsia="ar-SA"/>
        </w:rPr>
      </w:pPr>
      <w:r w:rsidRPr="003E130A">
        <w:rPr>
          <w:rFonts w:ascii="Arial" w:hAnsi="Arial" w:cs="Arial"/>
          <w:bCs/>
          <w:i/>
          <w:sz w:val="20"/>
          <w:szCs w:val="20"/>
          <w:lang w:val="es-ES" w:eastAsia="ar-SA"/>
        </w:rPr>
        <w:t>“</w:t>
      </w:r>
      <w:r w:rsidR="00FF3BD1" w:rsidRPr="003E130A">
        <w:rPr>
          <w:rFonts w:ascii="Arial" w:hAnsi="Arial" w:cs="Arial"/>
          <w:bCs/>
          <w:i/>
          <w:sz w:val="20"/>
          <w:szCs w:val="20"/>
          <w:lang w:val="es-ES" w:eastAsia="ar-SA"/>
        </w:rPr>
        <w:t>La pandemia de coronavirus continúa creando un alto nivel de incertidumbre en la economía mundial. En este contexto, los equipos de Coface han seguido trabajando estrechamente con sus clientes para ayudarles a navegar en este entorno incierto. Coface ha registrado muy buenos resultados operativos en el tercer trimestre, demostrando una vez más su resi</w:t>
      </w:r>
      <w:r w:rsidR="00884861">
        <w:rPr>
          <w:rFonts w:ascii="Arial" w:hAnsi="Arial" w:cs="Arial"/>
          <w:bCs/>
          <w:i/>
          <w:sz w:val="20"/>
          <w:szCs w:val="20"/>
          <w:lang w:val="es-ES" w:eastAsia="ar-SA"/>
        </w:rPr>
        <w:t>liencia</w:t>
      </w:r>
      <w:r w:rsidR="00FF3BD1" w:rsidRPr="003E130A">
        <w:rPr>
          <w:rFonts w:ascii="Arial" w:hAnsi="Arial" w:cs="Arial"/>
          <w:bCs/>
          <w:i/>
          <w:sz w:val="20"/>
          <w:szCs w:val="20"/>
          <w:lang w:val="es-ES" w:eastAsia="ar-SA"/>
        </w:rPr>
        <w:t xml:space="preserve"> y la </w:t>
      </w:r>
      <w:r w:rsidR="00884861">
        <w:rPr>
          <w:rFonts w:ascii="Arial" w:hAnsi="Arial" w:cs="Arial"/>
          <w:bCs/>
          <w:i/>
          <w:sz w:val="20"/>
          <w:szCs w:val="20"/>
          <w:lang w:val="es-ES" w:eastAsia="ar-SA"/>
        </w:rPr>
        <w:t>relevancia</w:t>
      </w:r>
      <w:r w:rsidR="00FF3BD1" w:rsidRPr="003E130A">
        <w:rPr>
          <w:rFonts w:ascii="Arial" w:hAnsi="Arial" w:cs="Arial"/>
          <w:bCs/>
          <w:i/>
          <w:sz w:val="20"/>
          <w:szCs w:val="20"/>
          <w:lang w:val="es-ES" w:eastAsia="ar-SA"/>
        </w:rPr>
        <w:t xml:space="preserve"> de su plan estratégico "</w:t>
      </w:r>
      <w:proofErr w:type="spellStart"/>
      <w:r w:rsidR="00FF3BD1" w:rsidRPr="003E130A">
        <w:rPr>
          <w:rFonts w:ascii="Arial" w:hAnsi="Arial" w:cs="Arial"/>
          <w:bCs/>
          <w:i/>
          <w:sz w:val="20"/>
          <w:szCs w:val="20"/>
          <w:lang w:val="es-ES" w:eastAsia="ar-SA"/>
        </w:rPr>
        <w:t>Build</w:t>
      </w:r>
      <w:proofErr w:type="spellEnd"/>
      <w:r w:rsidR="00FF3BD1" w:rsidRPr="003E130A">
        <w:rPr>
          <w:rFonts w:ascii="Arial" w:hAnsi="Arial" w:cs="Arial"/>
          <w:bCs/>
          <w:i/>
          <w:sz w:val="20"/>
          <w:szCs w:val="20"/>
          <w:lang w:val="es-ES" w:eastAsia="ar-SA"/>
        </w:rPr>
        <w:t xml:space="preserve"> to Lead".</w:t>
      </w:r>
    </w:p>
    <w:p w:rsidR="00FF3BD1" w:rsidRPr="003E130A" w:rsidRDefault="00FF3BD1" w:rsidP="00FF3BD1">
      <w:pPr>
        <w:suppressAutoHyphens/>
        <w:spacing w:line="276" w:lineRule="auto"/>
        <w:jc w:val="both"/>
        <w:rPr>
          <w:rFonts w:ascii="Arial" w:hAnsi="Arial" w:cs="Arial"/>
          <w:bCs/>
          <w:i/>
          <w:sz w:val="20"/>
          <w:szCs w:val="20"/>
          <w:lang w:val="es-ES" w:eastAsia="ar-SA"/>
        </w:rPr>
      </w:pPr>
      <w:r w:rsidRPr="003E130A">
        <w:rPr>
          <w:rFonts w:ascii="Arial" w:hAnsi="Arial" w:cs="Arial"/>
          <w:bCs/>
          <w:i/>
          <w:sz w:val="20"/>
          <w:szCs w:val="20"/>
          <w:lang w:val="es-ES" w:eastAsia="ar-SA"/>
        </w:rPr>
        <w:t xml:space="preserve">Durante el trimestre, Coface firmó su segunda adquisición en los últimos años, y dio la bienvenida a nuestros nuevos equipos en Coface GK en Noruega. Como se anunció anteriormente, esta integración ha dado lugar a un </w:t>
      </w:r>
      <w:r w:rsidR="00884861">
        <w:rPr>
          <w:rFonts w:ascii="Arial" w:hAnsi="Arial" w:cs="Arial"/>
          <w:bCs/>
          <w:i/>
          <w:sz w:val="20"/>
          <w:szCs w:val="20"/>
          <w:lang w:val="es-ES" w:eastAsia="ar-SA"/>
        </w:rPr>
        <w:t>gap</w:t>
      </w:r>
      <w:r w:rsidRPr="003E130A">
        <w:rPr>
          <w:rFonts w:ascii="Arial" w:hAnsi="Arial" w:cs="Arial"/>
          <w:bCs/>
          <w:i/>
          <w:sz w:val="20"/>
          <w:szCs w:val="20"/>
          <w:lang w:val="es-ES" w:eastAsia="ar-SA"/>
        </w:rPr>
        <w:t xml:space="preserve"> de compra positivo de 8,9 millones de euros.</w:t>
      </w:r>
    </w:p>
    <w:p w:rsidR="009946C2" w:rsidRPr="003E130A" w:rsidRDefault="00FF3BD1" w:rsidP="00FF3BD1">
      <w:pPr>
        <w:suppressAutoHyphens/>
        <w:spacing w:line="276" w:lineRule="auto"/>
        <w:jc w:val="both"/>
        <w:rPr>
          <w:rFonts w:ascii="Arial" w:hAnsi="Arial" w:cs="Arial"/>
          <w:bCs/>
          <w:i/>
          <w:sz w:val="20"/>
          <w:szCs w:val="20"/>
          <w:lang w:val="es-ES" w:eastAsia="ar-SA"/>
        </w:rPr>
      </w:pPr>
      <w:r w:rsidRPr="003E130A">
        <w:rPr>
          <w:rFonts w:ascii="Arial" w:hAnsi="Arial" w:cs="Arial"/>
          <w:bCs/>
          <w:i/>
          <w:sz w:val="20"/>
          <w:szCs w:val="20"/>
          <w:lang w:val="es-ES" w:eastAsia="ar-SA"/>
        </w:rPr>
        <w:t xml:space="preserve">Fortalecida por los buenos </w:t>
      </w:r>
      <w:proofErr w:type="gramStart"/>
      <w:r w:rsidRPr="003E130A">
        <w:rPr>
          <w:rFonts w:ascii="Arial" w:hAnsi="Arial" w:cs="Arial"/>
          <w:bCs/>
          <w:i/>
          <w:sz w:val="20"/>
          <w:szCs w:val="20"/>
          <w:lang w:val="es-ES" w:eastAsia="ar-SA"/>
        </w:rPr>
        <w:t>ratios operativos</w:t>
      </w:r>
      <w:proofErr w:type="gramEnd"/>
      <w:r w:rsidRPr="003E130A">
        <w:rPr>
          <w:rFonts w:ascii="Arial" w:hAnsi="Arial" w:cs="Arial"/>
          <w:bCs/>
          <w:i/>
          <w:sz w:val="20"/>
          <w:szCs w:val="20"/>
          <w:lang w:val="es-ES" w:eastAsia="ar-SA"/>
        </w:rPr>
        <w:t xml:space="preserve"> y un sólido balance, Coface lanza un programa de recompra de acciones, por un importe máximo de 15 millones de euros.</w:t>
      </w:r>
      <w:r w:rsidR="000F04C4" w:rsidRPr="003E130A">
        <w:rPr>
          <w:rFonts w:ascii="Arial" w:hAnsi="Arial" w:cs="Arial"/>
          <w:bCs/>
          <w:i/>
          <w:sz w:val="20"/>
          <w:szCs w:val="20"/>
          <w:lang w:val="es-ES" w:eastAsia="ar-SA"/>
        </w:rPr>
        <w:t>”</w:t>
      </w:r>
    </w:p>
    <w:p w:rsidR="00344720" w:rsidRPr="003E130A" w:rsidRDefault="00344720">
      <w:pPr>
        <w:widowControl/>
        <w:rPr>
          <w:rFonts w:ascii="Arial" w:hAnsi="Arial" w:cs="Arial"/>
          <w:bCs/>
          <w:i/>
          <w:sz w:val="20"/>
          <w:szCs w:val="20"/>
          <w:lang w:val="es-ES" w:eastAsia="ar-SA"/>
        </w:rPr>
      </w:pPr>
    </w:p>
    <w:p w:rsidR="00884861" w:rsidRDefault="00884861" w:rsidP="003D0FE0">
      <w:pPr>
        <w:rPr>
          <w:rFonts w:ascii="Arial" w:hAnsi="Arial" w:cs="Arial"/>
          <w:b/>
          <w:bCs/>
          <w:sz w:val="20"/>
          <w:szCs w:val="20"/>
          <w:lang w:val="es-ES" w:eastAsia="ar-SA"/>
        </w:rPr>
      </w:pPr>
    </w:p>
    <w:p w:rsidR="00884861" w:rsidRDefault="00884861" w:rsidP="003D0FE0">
      <w:pPr>
        <w:rPr>
          <w:rFonts w:ascii="Arial" w:hAnsi="Arial" w:cs="Arial"/>
          <w:b/>
          <w:bCs/>
          <w:sz w:val="20"/>
          <w:szCs w:val="20"/>
          <w:lang w:val="es-ES" w:eastAsia="ar-SA"/>
        </w:rPr>
      </w:pPr>
    </w:p>
    <w:p w:rsidR="003D0FE0" w:rsidRPr="003E130A" w:rsidRDefault="00FF3BD1" w:rsidP="003D0FE0">
      <w:pPr>
        <w:rPr>
          <w:rFonts w:ascii="Arial" w:hAnsi="Arial" w:cs="Arial"/>
          <w:b/>
          <w:bCs/>
          <w:sz w:val="20"/>
          <w:szCs w:val="20"/>
          <w:lang w:val="es-ES" w:eastAsia="ar-SA"/>
        </w:rPr>
      </w:pPr>
      <w:r w:rsidRPr="003E130A">
        <w:rPr>
          <w:rFonts w:ascii="Arial" w:hAnsi="Arial" w:cs="Arial"/>
          <w:b/>
          <w:bCs/>
          <w:sz w:val="20"/>
          <w:szCs w:val="20"/>
          <w:lang w:val="es-ES" w:eastAsia="ar-SA"/>
        </w:rPr>
        <w:t>Cifras clave al 30 de s</w:t>
      </w:r>
      <w:r w:rsidR="002D29A1" w:rsidRPr="003E130A">
        <w:rPr>
          <w:rFonts w:ascii="Arial" w:hAnsi="Arial" w:cs="Arial"/>
          <w:b/>
          <w:bCs/>
          <w:sz w:val="20"/>
          <w:szCs w:val="20"/>
          <w:lang w:val="es-ES" w:eastAsia="ar-SA"/>
        </w:rPr>
        <w:t>ept</w:t>
      </w:r>
      <w:r w:rsidRPr="003E130A">
        <w:rPr>
          <w:rFonts w:ascii="Arial" w:hAnsi="Arial" w:cs="Arial"/>
          <w:b/>
          <w:bCs/>
          <w:sz w:val="20"/>
          <w:szCs w:val="20"/>
          <w:lang w:val="es-ES" w:eastAsia="ar-SA"/>
        </w:rPr>
        <w:t>i</w:t>
      </w:r>
      <w:r w:rsidR="002D29A1" w:rsidRPr="003E130A">
        <w:rPr>
          <w:rFonts w:ascii="Arial" w:hAnsi="Arial" w:cs="Arial"/>
          <w:b/>
          <w:bCs/>
          <w:sz w:val="20"/>
          <w:szCs w:val="20"/>
          <w:lang w:val="es-ES" w:eastAsia="ar-SA"/>
        </w:rPr>
        <w:t>embr</w:t>
      </w:r>
      <w:r w:rsidRPr="003E130A">
        <w:rPr>
          <w:rFonts w:ascii="Arial" w:hAnsi="Arial" w:cs="Arial"/>
          <w:b/>
          <w:bCs/>
          <w:sz w:val="20"/>
          <w:szCs w:val="20"/>
          <w:lang w:val="es-ES" w:eastAsia="ar-SA"/>
        </w:rPr>
        <w:t>e de</w:t>
      </w:r>
      <w:r w:rsidR="002D29A1" w:rsidRPr="003E130A">
        <w:rPr>
          <w:rFonts w:ascii="Arial" w:hAnsi="Arial" w:cs="Arial"/>
          <w:b/>
          <w:bCs/>
          <w:sz w:val="20"/>
          <w:szCs w:val="20"/>
          <w:lang w:val="es-ES" w:eastAsia="ar-SA"/>
        </w:rPr>
        <w:t xml:space="preserve"> 2020</w:t>
      </w:r>
    </w:p>
    <w:p w:rsidR="00390B2B" w:rsidRPr="003E130A" w:rsidRDefault="00390B2B" w:rsidP="003D0FE0">
      <w:pPr>
        <w:rPr>
          <w:rFonts w:ascii="Arial" w:hAnsi="Arial" w:cs="Arial"/>
          <w:b/>
          <w:bCs/>
          <w:sz w:val="20"/>
          <w:szCs w:val="20"/>
          <w:lang w:val="es-ES" w:eastAsia="ar-SA"/>
        </w:rPr>
      </w:pPr>
    </w:p>
    <w:p w:rsidR="003D0FE0" w:rsidRPr="003E130A" w:rsidRDefault="00FF3BD1" w:rsidP="00DE01C7">
      <w:pPr>
        <w:pBdr>
          <w:top w:val="single" w:sz="4" w:space="1" w:color="auto"/>
          <w:left w:val="single" w:sz="4" w:space="4" w:color="auto"/>
          <w:bottom w:val="single" w:sz="4" w:space="1" w:color="auto"/>
          <w:right w:val="single" w:sz="4" w:space="4" w:color="auto"/>
        </w:pBdr>
        <w:suppressAutoHyphens/>
        <w:jc w:val="both"/>
        <w:rPr>
          <w:rFonts w:ascii="Arial" w:hAnsi="Arial" w:cs="Arial"/>
          <w:sz w:val="16"/>
          <w:szCs w:val="16"/>
          <w:lang w:val="es-ES" w:eastAsia="ar-SA"/>
        </w:rPr>
      </w:pPr>
      <w:r w:rsidRPr="003E130A">
        <w:rPr>
          <w:rFonts w:ascii="Arial" w:hAnsi="Arial" w:cs="Arial"/>
          <w:sz w:val="16"/>
          <w:szCs w:val="16"/>
          <w:lang w:val="es-ES" w:eastAsia="ar-SA"/>
        </w:rPr>
        <w:t>El Consejo de Administración de COFACE SA examinó los estados financieros consolidados resumidos el</w:t>
      </w:r>
      <w:r w:rsidR="003D0FE0" w:rsidRPr="003E130A">
        <w:rPr>
          <w:rFonts w:ascii="Arial" w:hAnsi="Arial" w:cs="Arial"/>
          <w:sz w:val="16"/>
          <w:szCs w:val="16"/>
          <w:lang w:val="es-ES" w:eastAsia="ar-SA"/>
        </w:rPr>
        <w:t xml:space="preserve"> 30</w:t>
      </w:r>
      <w:r w:rsidRPr="003E130A">
        <w:rPr>
          <w:rFonts w:ascii="Arial" w:hAnsi="Arial" w:cs="Arial"/>
          <w:sz w:val="16"/>
          <w:szCs w:val="16"/>
          <w:lang w:val="es-ES" w:eastAsia="ar-SA"/>
        </w:rPr>
        <w:t xml:space="preserve"> de</w:t>
      </w:r>
      <w:r w:rsidR="003D0FE0" w:rsidRPr="003E130A">
        <w:rPr>
          <w:rFonts w:ascii="Arial" w:hAnsi="Arial" w:cs="Arial"/>
          <w:sz w:val="16"/>
          <w:szCs w:val="16"/>
          <w:lang w:val="es-ES" w:eastAsia="ar-SA"/>
        </w:rPr>
        <w:t xml:space="preserve"> </w:t>
      </w:r>
      <w:r w:rsidRPr="003E130A">
        <w:rPr>
          <w:rFonts w:ascii="Arial" w:hAnsi="Arial" w:cs="Arial"/>
          <w:sz w:val="16"/>
          <w:szCs w:val="16"/>
          <w:lang w:val="es-ES" w:eastAsia="ar-SA"/>
        </w:rPr>
        <w:t>s</w:t>
      </w:r>
      <w:r w:rsidR="00B11F73" w:rsidRPr="003E130A">
        <w:rPr>
          <w:rFonts w:ascii="Arial" w:hAnsi="Arial" w:cs="Arial"/>
          <w:sz w:val="16"/>
          <w:szCs w:val="16"/>
          <w:lang w:val="es-ES" w:eastAsia="ar-SA"/>
        </w:rPr>
        <w:t>ept</w:t>
      </w:r>
      <w:r w:rsidRPr="003E130A">
        <w:rPr>
          <w:rFonts w:ascii="Arial" w:hAnsi="Arial" w:cs="Arial"/>
          <w:sz w:val="16"/>
          <w:szCs w:val="16"/>
          <w:lang w:val="es-ES" w:eastAsia="ar-SA"/>
        </w:rPr>
        <w:t>iemb</w:t>
      </w:r>
      <w:r w:rsidR="00B11F73" w:rsidRPr="003E130A">
        <w:rPr>
          <w:rFonts w:ascii="Arial" w:hAnsi="Arial" w:cs="Arial"/>
          <w:sz w:val="16"/>
          <w:szCs w:val="16"/>
          <w:lang w:val="es-ES" w:eastAsia="ar-SA"/>
        </w:rPr>
        <w:t>r</w:t>
      </w:r>
      <w:r w:rsidRPr="003E130A">
        <w:rPr>
          <w:rFonts w:ascii="Arial" w:hAnsi="Arial" w:cs="Arial"/>
          <w:sz w:val="16"/>
          <w:szCs w:val="16"/>
          <w:lang w:val="es-ES" w:eastAsia="ar-SA"/>
        </w:rPr>
        <w:t>e de</w:t>
      </w:r>
      <w:r w:rsidR="002D29A1" w:rsidRPr="003E130A">
        <w:rPr>
          <w:rFonts w:ascii="Arial" w:hAnsi="Arial" w:cs="Arial"/>
          <w:sz w:val="16"/>
          <w:szCs w:val="16"/>
          <w:lang w:val="es-ES" w:eastAsia="ar-SA"/>
        </w:rPr>
        <w:t xml:space="preserve"> 2020</w:t>
      </w:r>
      <w:r w:rsidR="00167D04" w:rsidRPr="003E130A">
        <w:rPr>
          <w:rFonts w:ascii="Arial" w:hAnsi="Arial" w:cs="Arial"/>
          <w:sz w:val="16"/>
          <w:szCs w:val="16"/>
          <w:lang w:val="es-ES" w:eastAsia="ar-SA"/>
        </w:rPr>
        <w:t xml:space="preserve"> (</w:t>
      </w:r>
      <w:r w:rsidRPr="003E130A">
        <w:rPr>
          <w:rFonts w:ascii="Arial" w:hAnsi="Arial" w:cs="Arial"/>
          <w:sz w:val="16"/>
          <w:szCs w:val="16"/>
          <w:lang w:val="es-ES" w:eastAsia="ar-SA"/>
        </w:rPr>
        <w:t>cifras no auditadas</w:t>
      </w:r>
      <w:r w:rsidR="00167D04" w:rsidRPr="003E130A">
        <w:rPr>
          <w:rFonts w:ascii="Arial" w:hAnsi="Arial" w:cs="Arial"/>
          <w:sz w:val="16"/>
          <w:szCs w:val="16"/>
          <w:lang w:val="es-ES" w:eastAsia="ar-SA"/>
        </w:rPr>
        <w:t>)</w:t>
      </w:r>
      <w:r w:rsidR="003D0FE0" w:rsidRPr="003E130A">
        <w:rPr>
          <w:rFonts w:ascii="Arial" w:hAnsi="Arial" w:cs="Arial"/>
          <w:sz w:val="16"/>
          <w:szCs w:val="16"/>
          <w:lang w:val="es-ES" w:eastAsia="ar-SA"/>
        </w:rPr>
        <w:t xml:space="preserve"> </w:t>
      </w:r>
      <w:r w:rsidRPr="003E130A">
        <w:rPr>
          <w:rFonts w:ascii="Arial" w:hAnsi="Arial" w:cs="Arial"/>
          <w:sz w:val="16"/>
          <w:szCs w:val="16"/>
          <w:lang w:val="es-ES" w:eastAsia="ar-SA"/>
        </w:rPr>
        <w:t>durante su reunión el</w:t>
      </w:r>
      <w:r w:rsidR="003D0FE0" w:rsidRPr="003E130A">
        <w:rPr>
          <w:rFonts w:ascii="Arial" w:hAnsi="Arial" w:cs="Arial"/>
          <w:sz w:val="16"/>
          <w:szCs w:val="16"/>
          <w:lang w:val="es-ES" w:eastAsia="ar-SA"/>
        </w:rPr>
        <w:t xml:space="preserve"> </w:t>
      </w:r>
      <w:r w:rsidR="002D29A1" w:rsidRPr="003E130A">
        <w:rPr>
          <w:rFonts w:ascii="Arial" w:hAnsi="Arial" w:cs="Arial"/>
          <w:sz w:val="16"/>
          <w:szCs w:val="16"/>
          <w:lang w:val="es-ES" w:eastAsia="ar-SA"/>
        </w:rPr>
        <w:t>2</w:t>
      </w:r>
      <w:r w:rsidR="00DE01C7" w:rsidRPr="003E130A">
        <w:rPr>
          <w:rFonts w:ascii="Arial" w:hAnsi="Arial" w:cs="Arial"/>
          <w:sz w:val="16"/>
          <w:szCs w:val="16"/>
          <w:lang w:val="es-ES" w:eastAsia="ar-SA"/>
        </w:rPr>
        <w:t>6</w:t>
      </w:r>
      <w:r w:rsidR="003D0FE0" w:rsidRPr="003E130A">
        <w:rPr>
          <w:rFonts w:ascii="Arial" w:hAnsi="Arial" w:cs="Arial"/>
          <w:sz w:val="16"/>
          <w:szCs w:val="16"/>
          <w:lang w:val="es-ES" w:eastAsia="ar-SA"/>
        </w:rPr>
        <w:t xml:space="preserve"> </w:t>
      </w:r>
      <w:r w:rsidRPr="003E130A">
        <w:rPr>
          <w:rFonts w:ascii="Arial" w:hAnsi="Arial" w:cs="Arial"/>
          <w:sz w:val="16"/>
          <w:szCs w:val="16"/>
          <w:lang w:val="es-ES" w:eastAsia="ar-SA"/>
        </w:rPr>
        <w:t>de octu</w:t>
      </w:r>
      <w:r w:rsidR="00B11F73" w:rsidRPr="003E130A">
        <w:rPr>
          <w:rFonts w:ascii="Arial" w:hAnsi="Arial" w:cs="Arial"/>
          <w:sz w:val="16"/>
          <w:szCs w:val="16"/>
          <w:lang w:val="es-ES" w:eastAsia="ar-SA"/>
        </w:rPr>
        <w:t>br</w:t>
      </w:r>
      <w:r w:rsidRPr="003E130A">
        <w:rPr>
          <w:rFonts w:ascii="Arial" w:hAnsi="Arial" w:cs="Arial"/>
          <w:sz w:val="16"/>
          <w:szCs w:val="16"/>
          <w:lang w:val="es-ES" w:eastAsia="ar-SA"/>
        </w:rPr>
        <w:t>e de</w:t>
      </w:r>
      <w:r w:rsidR="002D29A1" w:rsidRPr="003E130A">
        <w:rPr>
          <w:rFonts w:ascii="Arial" w:hAnsi="Arial" w:cs="Arial"/>
          <w:sz w:val="16"/>
          <w:szCs w:val="16"/>
          <w:lang w:val="es-ES" w:eastAsia="ar-SA"/>
        </w:rPr>
        <w:t xml:space="preserve"> 2020</w:t>
      </w:r>
      <w:r w:rsidR="00344720" w:rsidRPr="003E130A">
        <w:rPr>
          <w:rFonts w:ascii="Arial" w:hAnsi="Arial" w:cs="Arial"/>
          <w:sz w:val="16"/>
          <w:szCs w:val="16"/>
          <w:lang w:val="es-ES" w:eastAsia="ar-SA"/>
        </w:rPr>
        <w:t xml:space="preserve">. </w:t>
      </w:r>
      <w:r w:rsidRPr="003E130A">
        <w:rPr>
          <w:rFonts w:ascii="Arial" w:hAnsi="Arial" w:cs="Arial"/>
          <w:sz w:val="16"/>
          <w:szCs w:val="16"/>
          <w:lang w:val="es-ES" w:eastAsia="ar-SA"/>
        </w:rPr>
        <w:t>El Comité de Auditoría los examinó previamente en su reunión del 23 de octubre de 2020.</w:t>
      </w:r>
      <w:r w:rsidR="003D0FE0" w:rsidRPr="003E130A">
        <w:rPr>
          <w:rFonts w:ascii="Arial" w:hAnsi="Arial" w:cs="Arial"/>
          <w:sz w:val="16"/>
          <w:szCs w:val="16"/>
          <w:lang w:val="es-ES" w:eastAsia="ar-SA"/>
        </w:rPr>
        <w:t xml:space="preserve"> </w:t>
      </w:r>
    </w:p>
    <w:p w:rsidR="00FB5497" w:rsidRDefault="00FB5497" w:rsidP="001A7D95">
      <w:pPr>
        <w:widowControl/>
        <w:rPr>
          <w:rFonts w:ascii="Arial" w:eastAsia="Times New Roman" w:hAnsi="Arial" w:cs="Arial"/>
          <w:b/>
          <w:bCs/>
          <w:sz w:val="20"/>
          <w:szCs w:val="20"/>
          <w:lang w:val="es-ES"/>
        </w:rPr>
      </w:pPr>
    </w:p>
    <w:p w:rsidR="00884861" w:rsidRPr="003E130A" w:rsidRDefault="00884861" w:rsidP="001A7D95">
      <w:pPr>
        <w:widowControl/>
        <w:rPr>
          <w:rFonts w:ascii="Arial" w:eastAsia="Times New Roman" w:hAnsi="Arial" w:cs="Arial"/>
          <w:b/>
          <w:bCs/>
          <w:sz w:val="20"/>
          <w:szCs w:val="20"/>
          <w:lang w:val="es-ES"/>
        </w:rPr>
      </w:pPr>
    </w:p>
    <w:tbl>
      <w:tblPr>
        <w:tblW w:w="8922" w:type="dxa"/>
        <w:jc w:val="center"/>
        <w:tblLook w:val="04A0" w:firstRow="1" w:lastRow="0" w:firstColumn="1" w:lastColumn="0" w:noHBand="0" w:noVBand="1"/>
      </w:tblPr>
      <w:tblGrid>
        <w:gridCol w:w="4916"/>
        <w:gridCol w:w="1038"/>
        <w:gridCol w:w="1134"/>
        <w:gridCol w:w="917"/>
        <w:gridCol w:w="917"/>
      </w:tblGrid>
      <w:tr w:rsidR="00F6303E" w:rsidRPr="003E130A" w:rsidTr="00884861">
        <w:trPr>
          <w:trHeight w:val="510"/>
          <w:jc w:val="center"/>
        </w:trPr>
        <w:tc>
          <w:tcPr>
            <w:tcW w:w="4916" w:type="dxa"/>
            <w:tcBorders>
              <w:top w:val="nil"/>
              <w:left w:val="nil"/>
              <w:bottom w:val="nil"/>
              <w:right w:val="nil"/>
            </w:tcBorders>
            <w:shd w:val="clear" w:color="000000" w:fill="03365F"/>
            <w:noWrap/>
            <w:vAlign w:val="center"/>
            <w:hideMark/>
          </w:tcPr>
          <w:p w:rsidR="00F6303E" w:rsidRPr="003E130A" w:rsidRDefault="00FF3BD1" w:rsidP="00F6303E">
            <w:pPr>
              <w:widowControl/>
              <w:rPr>
                <w:rFonts w:ascii="Arial" w:eastAsia="Times New Roman" w:hAnsi="Arial" w:cs="Arial"/>
                <w:b/>
                <w:bCs/>
                <w:color w:val="FFFFFF"/>
                <w:sz w:val="20"/>
                <w:szCs w:val="20"/>
                <w:lang w:val="es-ES"/>
              </w:rPr>
            </w:pPr>
            <w:r w:rsidRPr="003E130A">
              <w:rPr>
                <w:rFonts w:ascii="Arial" w:eastAsia="Times New Roman" w:hAnsi="Arial" w:cs="Arial"/>
                <w:b/>
                <w:bCs/>
                <w:color w:val="FFFFFF"/>
                <w:sz w:val="20"/>
                <w:szCs w:val="20"/>
                <w:lang w:val="es-ES"/>
              </w:rPr>
              <w:t>Partidas de la cuenta de resultados en €m</w:t>
            </w:r>
          </w:p>
        </w:tc>
        <w:tc>
          <w:tcPr>
            <w:tcW w:w="1038" w:type="dxa"/>
            <w:tcBorders>
              <w:top w:val="nil"/>
              <w:left w:val="nil"/>
              <w:bottom w:val="nil"/>
              <w:right w:val="nil"/>
            </w:tcBorders>
            <w:shd w:val="clear" w:color="000000" w:fill="03365F"/>
            <w:vAlign w:val="center"/>
            <w:hideMark/>
          </w:tcPr>
          <w:p w:rsidR="00F6303E" w:rsidRPr="003E130A" w:rsidRDefault="00F6303E" w:rsidP="00F6303E">
            <w:pPr>
              <w:widowControl/>
              <w:jc w:val="right"/>
              <w:rPr>
                <w:rFonts w:ascii="Arial" w:eastAsia="Times New Roman" w:hAnsi="Arial" w:cs="Arial"/>
                <w:b/>
                <w:bCs/>
                <w:color w:val="FFFFFF"/>
                <w:sz w:val="20"/>
                <w:szCs w:val="20"/>
              </w:rPr>
            </w:pPr>
            <w:r w:rsidRPr="003E130A">
              <w:rPr>
                <w:rFonts w:ascii="Arial" w:eastAsia="Times New Roman" w:hAnsi="Arial" w:cs="Arial"/>
                <w:b/>
                <w:bCs/>
                <w:color w:val="FFFFFF"/>
                <w:sz w:val="20"/>
                <w:szCs w:val="20"/>
              </w:rPr>
              <w:t>9M-2019</w:t>
            </w:r>
          </w:p>
        </w:tc>
        <w:tc>
          <w:tcPr>
            <w:tcW w:w="1134" w:type="dxa"/>
            <w:tcBorders>
              <w:top w:val="nil"/>
              <w:left w:val="nil"/>
              <w:bottom w:val="nil"/>
              <w:right w:val="nil"/>
            </w:tcBorders>
            <w:shd w:val="clear" w:color="000000" w:fill="18B3B9"/>
            <w:noWrap/>
            <w:vAlign w:val="center"/>
            <w:hideMark/>
          </w:tcPr>
          <w:p w:rsidR="00F6303E" w:rsidRPr="003E130A" w:rsidRDefault="00F6303E" w:rsidP="00F6303E">
            <w:pPr>
              <w:widowControl/>
              <w:jc w:val="right"/>
              <w:rPr>
                <w:rFonts w:ascii="Arial" w:eastAsia="Times New Roman" w:hAnsi="Arial" w:cs="Arial"/>
                <w:b/>
                <w:bCs/>
                <w:color w:val="FFFFFF"/>
                <w:sz w:val="20"/>
                <w:szCs w:val="20"/>
              </w:rPr>
            </w:pPr>
            <w:r w:rsidRPr="003E130A">
              <w:rPr>
                <w:rFonts w:ascii="Arial" w:eastAsia="Times New Roman" w:hAnsi="Arial" w:cs="Arial"/>
                <w:b/>
                <w:bCs/>
                <w:color w:val="FFFFFF"/>
                <w:sz w:val="20"/>
                <w:szCs w:val="20"/>
              </w:rPr>
              <w:t>9M-2020</w:t>
            </w:r>
          </w:p>
        </w:tc>
        <w:tc>
          <w:tcPr>
            <w:tcW w:w="917" w:type="dxa"/>
            <w:tcBorders>
              <w:top w:val="nil"/>
              <w:left w:val="nil"/>
              <w:bottom w:val="nil"/>
              <w:right w:val="nil"/>
            </w:tcBorders>
            <w:shd w:val="clear" w:color="000000" w:fill="03365F"/>
            <w:noWrap/>
            <w:vAlign w:val="center"/>
            <w:hideMark/>
          </w:tcPr>
          <w:p w:rsidR="00F6303E" w:rsidRPr="003E130A" w:rsidRDefault="00F6303E" w:rsidP="00F6303E">
            <w:pPr>
              <w:widowControl/>
              <w:jc w:val="center"/>
              <w:rPr>
                <w:rFonts w:ascii="Arial" w:eastAsia="Times New Roman" w:hAnsi="Arial" w:cs="Arial"/>
                <w:b/>
                <w:bCs/>
                <w:color w:val="FFFFFF"/>
                <w:sz w:val="20"/>
                <w:szCs w:val="20"/>
              </w:rPr>
            </w:pPr>
            <w:r w:rsidRPr="003E130A">
              <w:rPr>
                <w:rFonts w:ascii="Arial" w:eastAsia="Times New Roman" w:hAnsi="Arial" w:cs="Arial"/>
                <w:b/>
                <w:bCs/>
                <w:color w:val="FFFFFF"/>
                <w:sz w:val="20"/>
                <w:szCs w:val="20"/>
              </w:rPr>
              <w:t>%</w:t>
            </w:r>
          </w:p>
        </w:tc>
        <w:tc>
          <w:tcPr>
            <w:tcW w:w="917" w:type="dxa"/>
            <w:tcBorders>
              <w:top w:val="nil"/>
              <w:left w:val="nil"/>
              <w:bottom w:val="nil"/>
              <w:right w:val="nil"/>
            </w:tcBorders>
            <w:shd w:val="clear" w:color="000000" w:fill="03365F"/>
            <w:vAlign w:val="center"/>
            <w:hideMark/>
          </w:tcPr>
          <w:p w:rsidR="00F6303E" w:rsidRPr="003E130A" w:rsidRDefault="00F6303E" w:rsidP="00F6303E">
            <w:pPr>
              <w:widowControl/>
              <w:jc w:val="center"/>
              <w:rPr>
                <w:rFonts w:ascii="Arial" w:eastAsia="Times New Roman" w:hAnsi="Arial" w:cs="Arial"/>
                <w:b/>
                <w:bCs/>
                <w:color w:val="FFFFFF"/>
                <w:sz w:val="20"/>
                <w:szCs w:val="20"/>
              </w:rPr>
            </w:pPr>
            <w:r w:rsidRPr="003E130A">
              <w:rPr>
                <w:rFonts w:ascii="Arial" w:eastAsia="Times New Roman" w:hAnsi="Arial" w:cs="Arial"/>
                <w:b/>
                <w:bCs/>
                <w:color w:val="FFFFFF"/>
                <w:sz w:val="20"/>
                <w:szCs w:val="20"/>
              </w:rPr>
              <w:t xml:space="preserve">% </w:t>
            </w:r>
            <w:r w:rsidRPr="003E130A">
              <w:rPr>
                <w:rFonts w:ascii="Arial" w:eastAsia="Times New Roman" w:hAnsi="Arial" w:cs="Arial"/>
                <w:b/>
                <w:bCs/>
                <w:color w:val="FFFFFF"/>
                <w:sz w:val="20"/>
                <w:szCs w:val="20"/>
              </w:rPr>
              <w:br/>
              <w:t>ex. FX*</w:t>
            </w:r>
          </w:p>
        </w:tc>
      </w:tr>
      <w:tr w:rsidR="00F6303E" w:rsidRPr="003E130A" w:rsidTr="00884861">
        <w:trPr>
          <w:trHeight w:val="300"/>
          <w:jc w:val="center"/>
        </w:trPr>
        <w:tc>
          <w:tcPr>
            <w:tcW w:w="4916" w:type="dxa"/>
            <w:tcBorders>
              <w:top w:val="single" w:sz="4" w:space="0" w:color="BFBFBF"/>
              <w:left w:val="nil"/>
              <w:bottom w:val="single" w:sz="4" w:space="0" w:color="BFBFBF"/>
              <w:right w:val="nil"/>
            </w:tcBorders>
            <w:shd w:val="clear" w:color="auto" w:fill="auto"/>
            <w:noWrap/>
            <w:vAlign w:val="bottom"/>
            <w:hideMark/>
          </w:tcPr>
          <w:p w:rsidR="00F6303E" w:rsidRPr="003E130A" w:rsidRDefault="00FF3BD1" w:rsidP="00F6303E">
            <w:pPr>
              <w:widowControl/>
              <w:rPr>
                <w:rFonts w:ascii="Arial" w:eastAsia="Times New Roman" w:hAnsi="Arial" w:cs="Arial"/>
                <w:sz w:val="20"/>
                <w:szCs w:val="20"/>
              </w:rPr>
            </w:pPr>
            <w:proofErr w:type="spellStart"/>
            <w:r w:rsidRPr="003E130A">
              <w:rPr>
                <w:rFonts w:ascii="Arial" w:eastAsia="Times New Roman" w:hAnsi="Arial" w:cs="Arial"/>
                <w:sz w:val="20"/>
                <w:szCs w:val="20"/>
              </w:rPr>
              <w:t>Primas</w:t>
            </w:r>
            <w:proofErr w:type="spellEnd"/>
            <w:r w:rsidRPr="003E130A">
              <w:rPr>
                <w:rFonts w:ascii="Arial" w:eastAsia="Times New Roman" w:hAnsi="Arial" w:cs="Arial"/>
                <w:sz w:val="20"/>
                <w:szCs w:val="20"/>
              </w:rPr>
              <w:t xml:space="preserve"> </w:t>
            </w:r>
            <w:proofErr w:type="spellStart"/>
            <w:r w:rsidRPr="003E130A">
              <w:rPr>
                <w:rFonts w:ascii="Arial" w:eastAsia="Times New Roman" w:hAnsi="Arial" w:cs="Arial"/>
                <w:sz w:val="20"/>
                <w:szCs w:val="20"/>
              </w:rPr>
              <w:t>brutas</w:t>
            </w:r>
            <w:proofErr w:type="spellEnd"/>
            <w:r w:rsidRPr="003E130A">
              <w:rPr>
                <w:rFonts w:ascii="Arial" w:eastAsia="Times New Roman" w:hAnsi="Arial" w:cs="Arial"/>
                <w:sz w:val="20"/>
                <w:szCs w:val="20"/>
              </w:rPr>
              <w:t xml:space="preserve"> </w:t>
            </w:r>
            <w:proofErr w:type="spellStart"/>
            <w:r w:rsidRPr="003E130A">
              <w:rPr>
                <w:rFonts w:ascii="Arial" w:eastAsia="Times New Roman" w:hAnsi="Arial" w:cs="Arial"/>
                <w:sz w:val="20"/>
                <w:szCs w:val="20"/>
              </w:rPr>
              <w:t>devengadas</w:t>
            </w:r>
            <w:proofErr w:type="spellEnd"/>
          </w:p>
        </w:tc>
        <w:tc>
          <w:tcPr>
            <w:tcW w:w="1038" w:type="dxa"/>
            <w:tcBorders>
              <w:top w:val="single" w:sz="4" w:space="0" w:color="BFBFBF"/>
              <w:left w:val="nil"/>
              <w:bottom w:val="single" w:sz="4" w:space="0" w:color="BFBFBF"/>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917.9</w:t>
            </w:r>
          </w:p>
        </w:tc>
        <w:tc>
          <w:tcPr>
            <w:tcW w:w="1134" w:type="dxa"/>
            <w:tcBorders>
              <w:top w:val="single" w:sz="4" w:space="0" w:color="BFBFBF"/>
              <w:left w:val="nil"/>
              <w:bottom w:val="single" w:sz="4" w:space="0" w:color="BFBFBF"/>
              <w:right w:val="nil"/>
            </w:tcBorders>
            <w:shd w:val="clear" w:color="000000" w:fill="D1F0F1"/>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897.2</w:t>
            </w:r>
          </w:p>
        </w:tc>
        <w:tc>
          <w:tcPr>
            <w:tcW w:w="917" w:type="dxa"/>
            <w:tcBorders>
              <w:top w:val="single" w:sz="4" w:space="0" w:color="BFBFBF"/>
              <w:left w:val="nil"/>
              <w:bottom w:val="single" w:sz="4" w:space="0" w:color="BFBFBF"/>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(2.3)%</w:t>
            </w:r>
          </w:p>
        </w:tc>
        <w:tc>
          <w:tcPr>
            <w:tcW w:w="917" w:type="dxa"/>
            <w:tcBorders>
              <w:top w:val="single" w:sz="4" w:space="0" w:color="BFBFBF"/>
              <w:left w:val="nil"/>
              <w:bottom w:val="single" w:sz="4" w:space="0" w:color="BFBFBF"/>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(1.1)%</w:t>
            </w:r>
          </w:p>
        </w:tc>
      </w:tr>
      <w:tr w:rsidR="00F6303E" w:rsidRPr="003E130A" w:rsidTr="00884861">
        <w:trPr>
          <w:trHeight w:val="300"/>
          <w:jc w:val="center"/>
        </w:trPr>
        <w:tc>
          <w:tcPr>
            <w:tcW w:w="4916" w:type="dxa"/>
            <w:tcBorders>
              <w:top w:val="nil"/>
              <w:left w:val="nil"/>
              <w:bottom w:val="nil"/>
              <w:right w:val="nil"/>
            </w:tcBorders>
            <w:shd w:val="clear" w:color="auto" w:fill="auto"/>
            <w:noWrap/>
            <w:vAlign w:val="bottom"/>
            <w:hideMark/>
          </w:tcPr>
          <w:p w:rsidR="00F6303E" w:rsidRPr="003E130A" w:rsidRDefault="00FF3BD1" w:rsidP="00F6303E">
            <w:pPr>
              <w:widowControl/>
              <w:rPr>
                <w:rFonts w:ascii="Arial" w:eastAsia="Times New Roman" w:hAnsi="Arial" w:cs="Arial"/>
                <w:sz w:val="20"/>
                <w:szCs w:val="20"/>
              </w:rPr>
            </w:pPr>
            <w:proofErr w:type="spellStart"/>
            <w:r w:rsidRPr="003E130A">
              <w:rPr>
                <w:rFonts w:ascii="Arial" w:eastAsia="Times New Roman" w:hAnsi="Arial" w:cs="Arial"/>
                <w:sz w:val="20"/>
                <w:szCs w:val="20"/>
              </w:rPr>
              <w:t>Ingresos</w:t>
            </w:r>
            <w:proofErr w:type="spellEnd"/>
            <w:r w:rsidRPr="003E130A">
              <w:rPr>
                <w:rFonts w:ascii="Arial" w:eastAsia="Times New Roman" w:hAnsi="Arial" w:cs="Arial"/>
                <w:sz w:val="20"/>
                <w:szCs w:val="20"/>
              </w:rPr>
              <w:t xml:space="preserve"> </w:t>
            </w:r>
            <w:proofErr w:type="spellStart"/>
            <w:r w:rsidRPr="003E130A">
              <w:rPr>
                <w:rFonts w:ascii="Arial" w:eastAsia="Times New Roman" w:hAnsi="Arial" w:cs="Arial"/>
                <w:sz w:val="20"/>
                <w:szCs w:val="20"/>
              </w:rPr>
              <w:t>por</w:t>
            </w:r>
            <w:proofErr w:type="spellEnd"/>
            <w:r w:rsidRPr="003E130A">
              <w:rPr>
                <w:rFonts w:ascii="Arial" w:eastAsia="Times New Roman" w:hAnsi="Arial" w:cs="Arial"/>
                <w:sz w:val="20"/>
                <w:szCs w:val="20"/>
              </w:rPr>
              <w:t xml:space="preserve"> </w:t>
            </w:r>
            <w:proofErr w:type="spellStart"/>
            <w:r w:rsidRPr="003E130A">
              <w:rPr>
                <w:rFonts w:ascii="Arial" w:eastAsia="Times New Roman" w:hAnsi="Arial" w:cs="Arial"/>
                <w:sz w:val="20"/>
                <w:szCs w:val="20"/>
              </w:rPr>
              <w:t>servicios</w:t>
            </w:r>
            <w:proofErr w:type="spellEnd"/>
          </w:p>
        </w:tc>
        <w:tc>
          <w:tcPr>
            <w:tcW w:w="1038" w:type="dxa"/>
            <w:tcBorders>
              <w:top w:val="nil"/>
              <w:left w:val="nil"/>
              <w:bottom w:val="nil"/>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185.6</w:t>
            </w:r>
          </w:p>
        </w:tc>
        <w:tc>
          <w:tcPr>
            <w:tcW w:w="1134" w:type="dxa"/>
            <w:tcBorders>
              <w:top w:val="nil"/>
              <w:left w:val="nil"/>
              <w:bottom w:val="nil"/>
              <w:right w:val="nil"/>
            </w:tcBorders>
            <w:shd w:val="clear" w:color="000000" w:fill="D1F0F1"/>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185.3</w:t>
            </w:r>
          </w:p>
        </w:tc>
        <w:tc>
          <w:tcPr>
            <w:tcW w:w="917" w:type="dxa"/>
            <w:tcBorders>
              <w:top w:val="nil"/>
              <w:left w:val="nil"/>
              <w:bottom w:val="nil"/>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(0.2)%</w:t>
            </w:r>
          </w:p>
        </w:tc>
        <w:tc>
          <w:tcPr>
            <w:tcW w:w="917" w:type="dxa"/>
            <w:tcBorders>
              <w:top w:val="nil"/>
              <w:left w:val="nil"/>
              <w:bottom w:val="nil"/>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+0.0%</w:t>
            </w:r>
          </w:p>
        </w:tc>
      </w:tr>
      <w:tr w:rsidR="00F6303E" w:rsidRPr="003E130A" w:rsidTr="00884861">
        <w:trPr>
          <w:trHeight w:val="315"/>
          <w:jc w:val="center"/>
        </w:trPr>
        <w:tc>
          <w:tcPr>
            <w:tcW w:w="4916" w:type="dxa"/>
            <w:tcBorders>
              <w:top w:val="single" w:sz="4" w:space="0" w:color="18B3B9"/>
              <w:left w:val="nil"/>
              <w:bottom w:val="single" w:sz="8" w:space="0" w:color="18B3B9"/>
              <w:right w:val="nil"/>
            </w:tcBorders>
            <w:shd w:val="clear" w:color="auto" w:fill="auto"/>
            <w:noWrap/>
            <w:vAlign w:val="bottom"/>
            <w:hideMark/>
          </w:tcPr>
          <w:p w:rsidR="00F6303E" w:rsidRPr="003E130A" w:rsidRDefault="00FF3BD1" w:rsidP="00F6303E">
            <w:pPr>
              <w:widowControl/>
              <w:rPr>
                <w:rFonts w:ascii="Arial" w:eastAsia="Times New Roman" w:hAnsi="Arial" w:cs="Arial"/>
                <w:b/>
                <w:bCs/>
                <w:color w:val="18B3B9"/>
                <w:sz w:val="20"/>
                <w:szCs w:val="20"/>
              </w:rPr>
            </w:pPr>
            <w:r w:rsidRPr="003E130A">
              <w:rPr>
                <w:rFonts w:ascii="Arial" w:eastAsia="Times New Roman" w:hAnsi="Arial" w:cs="Arial"/>
                <w:b/>
                <w:bCs/>
                <w:color w:val="18B3B9"/>
                <w:sz w:val="20"/>
                <w:szCs w:val="20"/>
              </w:rPr>
              <w:t>INGRESOS</w:t>
            </w:r>
          </w:p>
        </w:tc>
        <w:tc>
          <w:tcPr>
            <w:tcW w:w="1038" w:type="dxa"/>
            <w:tcBorders>
              <w:top w:val="single" w:sz="4" w:space="0" w:color="18B3B9"/>
              <w:left w:val="nil"/>
              <w:bottom w:val="single" w:sz="8" w:space="0" w:color="18B3B9"/>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b/>
                <w:bCs/>
                <w:color w:val="18B3B9"/>
                <w:sz w:val="20"/>
                <w:szCs w:val="20"/>
              </w:rPr>
            </w:pPr>
            <w:r w:rsidRPr="003E130A">
              <w:rPr>
                <w:rFonts w:ascii="Arial" w:eastAsia="Times New Roman" w:hAnsi="Arial" w:cs="Arial"/>
                <w:b/>
                <w:bCs/>
                <w:color w:val="18B3B9"/>
                <w:sz w:val="20"/>
                <w:szCs w:val="20"/>
              </w:rPr>
              <w:t>1,103.4</w:t>
            </w:r>
          </w:p>
        </w:tc>
        <w:tc>
          <w:tcPr>
            <w:tcW w:w="1134" w:type="dxa"/>
            <w:tcBorders>
              <w:top w:val="single" w:sz="4" w:space="0" w:color="18B3B9"/>
              <w:left w:val="nil"/>
              <w:bottom w:val="single" w:sz="8" w:space="0" w:color="18B3B9"/>
              <w:right w:val="nil"/>
            </w:tcBorders>
            <w:shd w:val="clear" w:color="000000" w:fill="D1F0F1"/>
            <w:noWrap/>
            <w:vAlign w:val="bottom"/>
            <w:hideMark/>
          </w:tcPr>
          <w:p w:rsidR="00F6303E" w:rsidRPr="003E130A" w:rsidRDefault="00F6303E" w:rsidP="00F6303E">
            <w:pPr>
              <w:widowControl/>
              <w:jc w:val="right"/>
              <w:rPr>
                <w:rFonts w:ascii="Arial" w:eastAsia="Times New Roman" w:hAnsi="Arial" w:cs="Arial"/>
                <w:b/>
                <w:bCs/>
                <w:color w:val="18B3B9"/>
                <w:sz w:val="20"/>
                <w:szCs w:val="20"/>
              </w:rPr>
            </w:pPr>
            <w:r w:rsidRPr="003E130A">
              <w:rPr>
                <w:rFonts w:ascii="Arial" w:eastAsia="Times New Roman" w:hAnsi="Arial" w:cs="Arial"/>
                <w:b/>
                <w:bCs/>
                <w:color w:val="18B3B9"/>
                <w:sz w:val="20"/>
                <w:szCs w:val="20"/>
              </w:rPr>
              <w:t>1,082.4</w:t>
            </w:r>
          </w:p>
        </w:tc>
        <w:tc>
          <w:tcPr>
            <w:tcW w:w="917" w:type="dxa"/>
            <w:tcBorders>
              <w:top w:val="single" w:sz="4" w:space="0" w:color="18B3B9"/>
              <w:left w:val="nil"/>
              <w:bottom w:val="single" w:sz="8" w:space="0" w:color="18B3B9"/>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b/>
                <w:bCs/>
                <w:color w:val="18B3B9"/>
                <w:sz w:val="20"/>
                <w:szCs w:val="20"/>
              </w:rPr>
            </w:pPr>
            <w:r w:rsidRPr="003E130A">
              <w:rPr>
                <w:rFonts w:ascii="Arial" w:eastAsia="Times New Roman" w:hAnsi="Arial" w:cs="Arial"/>
                <w:b/>
                <w:bCs/>
                <w:color w:val="18B3B9"/>
                <w:sz w:val="20"/>
                <w:szCs w:val="20"/>
              </w:rPr>
              <w:t>(1.9)%</w:t>
            </w:r>
          </w:p>
        </w:tc>
        <w:tc>
          <w:tcPr>
            <w:tcW w:w="917" w:type="dxa"/>
            <w:tcBorders>
              <w:top w:val="single" w:sz="4" w:space="0" w:color="18B3B9"/>
              <w:left w:val="nil"/>
              <w:bottom w:val="single" w:sz="8" w:space="0" w:color="18B3B9"/>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b/>
                <w:bCs/>
                <w:color w:val="18B3B9"/>
                <w:sz w:val="20"/>
                <w:szCs w:val="20"/>
              </w:rPr>
            </w:pPr>
            <w:r w:rsidRPr="003E130A">
              <w:rPr>
                <w:rFonts w:ascii="Arial" w:eastAsia="Times New Roman" w:hAnsi="Arial" w:cs="Arial"/>
                <w:b/>
                <w:bCs/>
                <w:color w:val="18B3B9"/>
                <w:sz w:val="20"/>
                <w:szCs w:val="20"/>
              </w:rPr>
              <w:t>(0.9)%</w:t>
            </w:r>
          </w:p>
        </w:tc>
      </w:tr>
      <w:tr w:rsidR="00F6303E" w:rsidRPr="003E130A" w:rsidTr="00884861">
        <w:trPr>
          <w:trHeight w:val="300"/>
          <w:jc w:val="center"/>
        </w:trPr>
        <w:tc>
          <w:tcPr>
            <w:tcW w:w="4916" w:type="dxa"/>
            <w:tcBorders>
              <w:top w:val="single" w:sz="4" w:space="0" w:color="BFBFBF"/>
              <w:left w:val="nil"/>
              <w:bottom w:val="single" w:sz="4" w:space="0" w:color="BFBFBF"/>
              <w:right w:val="nil"/>
            </w:tcBorders>
            <w:shd w:val="clear" w:color="auto" w:fill="auto"/>
            <w:noWrap/>
            <w:vAlign w:val="bottom"/>
            <w:hideMark/>
          </w:tcPr>
          <w:p w:rsidR="00F6303E" w:rsidRPr="003E130A" w:rsidRDefault="00FF3BD1" w:rsidP="00F6303E">
            <w:pPr>
              <w:widowControl/>
              <w:rPr>
                <w:rFonts w:ascii="Arial" w:eastAsia="Times New Roman" w:hAnsi="Arial" w:cs="Arial"/>
                <w:sz w:val="20"/>
                <w:szCs w:val="20"/>
                <w:lang w:val="es-ES"/>
              </w:rPr>
            </w:pPr>
            <w:r w:rsidRPr="003E130A">
              <w:rPr>
                <w:rFonts w:ascii="Arial" w:eastAsia="Times New Roman" w:hAnsi="Arial" w:cs="Arial"/>
                <w:sz w:val="20"/>
                <w:szCs w:val="20"/>
                <w:lang w:val="es-ES"/>
              </w:rPr>
              <w:t>Ingresos/pérdidas por suscripción después del reaseguro</w:t>
            </w:r>
          </w:p>
        </w:tc>
        <w:tc>
          <w:tcPr>
            <w:tcW w:w="1038" w:type="dxa"/>
            <w:tcBorders>
              <w:top w:val="single" w:sz="4" w:space="0" w:color="BFBFBF"/>
              <w:left w:val="nil"/>
              <w:bottom w:val="single" w:sz="4" w:space="0" w:color="BFBFBF"/>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145.7</w:t>
            </w:r>
          </w:p>
        </w:tc>
        <w:tc>
          <w:tcPr>
            <w:tcW w:w="1134" w:type="dxa"/>
            <w:tcBorders>
              <w:top w:val="single" w:sz="4" w:space="0" w:color="BFBFBF"/>
              <w:left w:val="nil"/>
              <w:bottom w:val="single" w:sz="4" w:space="0" w:color="BFBFBF"/>
              <w:right w:val="nil"/>
            </w:tcBorders>
            <w:shd w:val="clear" w:color="000000" w:fill="D1F0F1"/>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74.6</w:t>
            </w:r>
          </w:p>
        </w:tc>
        <w:tc>
          <w:tcPr>
            <w:tcW w:w="917" w:type="dxa"/>
            <w:tcBorders>
              <w:top w:val="single" w:sz="4" w:space="0" w:color="18B3B9"/>
              <w:left w:val="nil"/>
              <w:bottom w:val="nil"/>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(48.8)%</w:t>
            </w:r>
          </w:p>
        </w:tc>
        <w:tc>
          <w:tcPr>
            <w:tcW w:w="917" w:type="dxa"/>
            <w:tcBorders>
              <w:top w:val="single" w:sz="4" w:space="0" w:color="18B3B9"/>
              <w:left w:val="nil"/>
              <w:bottom w:val="nil"/>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(49.8)%</w:t>
            </w:r>
          </w:p>
        </w:tc>
      </w:tr>
      <w:tr w:rsidR="00EF55E4" w:rsidRPr="003E130A" w:rsidTr="00884861">
        <w:trPr>
          <w:trHeight w:val="300"/>
          <w:jc w:val="center"/>
        </w:trPr>
        <w:tc>
          <w:tcPr>
            <w:tcW w:w="4916" w:type="dxa"/>
            <w:tcBorders>
              <w:top w:val="nil"/>
              <w:left w:val="nil"/>
              <w:bottom w:val="nil"/>
              <w:right w:val="nil"/>
            </w:tcBorders>
            <w:shd w:val="clear" w:color="auto" w:fill="auto"/>
            <w:noWrap/>
            <w:vAlign w:val="bottom"/>
            <w:hideMark/>
          </w:tcPr>
          <w:p w:rsidR="00EF55E4" w:rsidRPr="003E130A" w:rsidRDefault="00FF3BD1" w:rsidP="00EF55E4">
            <w:pPr>
              <w:widowControl/>
              <w:rPr>
                <w:rFonts w:ascii="Arial" w:eastAsia="Times New Roman" w:hAnsi="Arial" w:cs="Arial"/>
                <w:sz w:val="20"/>
                <w:szCs w:val="20"/>
                <w:lang w:val="es-ES"/>
              </w:rPr>
            </w:pPr>
            <w:r w:rsidRPr="003E130A">
              <w:rPr>
                <w:rFonts w:ascii="Arial" w:eastAsia="Times New Roman" w:hAnsi="Arial" w:cs="Arial"/>
                <w:sz w:val="20"/>
                <w:szCs w:val="20"/>
                <w:lang w:val="es-ES"/>
              </w:rPr>
              <w:t>Ingresos por inversiones, netos de los gastos de gestión</w:t>
            </w:r>
          </w:p>
        </w:tc>
        <w:tc>
          <w:tcPr>
            <w:tcW w:w="1038" w:type="dxa"/>
            <w:tcBorders>
              <w:top w:val="nil"/>
              <w:left w:val="nil"/>
              <w:bottom w:val="nil"/>
              <w:right w:val="nil"/>
            </w:tcBorders>
            <w:shd w:val="clear" w:color="000000" w:fill="FFFFFF"/>
            <w:noWrap/>
            <w:vAlign w:val="bottom"/>
            <w:hideMark/>
          </w:tcPr>
          <w:p w:rsidR="00EF55E4" w:rsidRPr="003E130A" w:rsidRDefault="00EF55E4" w:rsidP="00EF55E4">
            <w:pPr>
              <w:widowControl/>
              <w:jc w:val="right"/>
              <w:rPr>
                <w:rFonts w:ascii="Arial" w:eastAsia="Times New Roman" w:hAnsi="Arial" w:cs="Arial"/>
                <w:sz w:val="20"/>
                <w:szCs w:val="20"/>
              </w:rPr>
            </w:pPr>
            <w:r w:rsidRPr="003E130A">
              <w:rPr>
                <w:rFonts w:ascii="Arial" w:eastAsia="Times New Roman" w:hAnsi="Arial" w:cs="Arial"/>
                <w:sz w:val="20"/>
                <w:szCs w:val="20"/>
              </w:rPr>
              <w:t>28.4</w:t>
            </w:r>
          </w:p>
        </w:tc>
        <w:tc>
          <w:tcPr>
            <w:tcW w:w="1134" w:type="dxa"/>
            <w:tcBorders>
              <w:top w:val="nil"/>
              <w:left w:val="nil"/>
              <w:bottom w:val="nil"/>
              <w:right w:val="nil"/>
            </w:tcBorders>
            <w:shd w:val="clear" w:color="000000" w:fill="D1F0F1"/>
            <w:noWrap/>
            <w:vAlign w:val="bottom"/>
            <w:hideMark/>
          </w:tcPr>
          <w:p w:rsidR="00EF55E4" w:rsidRPr="003E130A" w:rsidRDefault="00EF55E4" w:rsidP="00EF55E4">
            <w:pPr>
              <w:widowControl/>
              <w:jc w:val="right"/>
              <w:rPr>
                <w:rFonts w:ascii="Arial" w:eastAsia="Times New Roman" w:hAnsi="Arial" w:cs="Arial"/>
                <w:sz w:val="20"/>
                <w:szCs w:val="20"/>
              </w:rPr>
            </w:pPr>
            <w:r w:rsidRPr="003E130A">
              <w:rPr>
                <w:rFonts w:ascii="Arial" w:hAnsi="Arial" w:cs="Arial"/>
                <w:sz w:val="20"/>
                <w:szCs w:val="20"/>
              </w:rPr>
              <w:t>23.5</w:t>
            </w:r>
          </w:p>
        </w:tc>
        <w:tc>
          <w:tcPr>
            <w:tcW w:w="917" w:type="dxa"/>
            <w:tcBorders>
              <w:top w:val="single" w:sz="4" w:space="0" w:color="BFBFBF"/>
              <w:left w:val="nil"/>
              <w:bottom w:val="nil"/>
              <w:right w:val="nil"/>
            </w:tcBorders>
            <w:shd w:val="clear" w:color="000000" w:fill="FFFFFF"/>
            <w:noWrap/>
            <w:vAlign w:val="bottom"/>
            <w:hideMark/>
          </w:tcPr>
          <w:p w:rsidR="00EF55E4" w:rsidRPr="003E130A" w:rsidRDefault="00EF55E4" w:rsidP="00EF55E4">
            <w:pPr>
              <w:jc w:val="right"/>
              <w:rPr>
                <w:rFonts w:ascii="Arial" w:hAnsi="Arial" w:cs="Arial"/>
                <w:sz w:val="20"/>
                <w:szCs w:val="20"/>
              </w:rPr>
            </w:pPr>
            <w:r w:rsidRPr="003E130A">
              <w:rPr>
                <w:rFonts w:ascii="Arial" w:hAnsi="Arial" w:cs="Arial"/>
                <w:sz w:val="20"/>
                <w:szCs w:val="20"/>
              </w:rPr>
              <w:t>(17.4)%</w:t>
            </w:r>
          </w:p>
        </w:tc>
        <w:tc>
          <w:tcPr>
            <w:tcW w:w="917" w:type="dxa"/>
            <w:tcBorders>
              <w:top w:val="single" w:sz="4" w:space="0" w:color="BFBFBF"/>
              <w:left w:val="nil"/>
              <w:bottom w:val="nil"/>
              <w:right w:val="nil"/>
            </w:tcBorders>
            <w:shd w:val="clear" w:color="000000" w:fill="FFFFFF"/>
            <w:noWrap/>
            <w:vAlign w:val="bottom"/>
            <w:hideMark/>
          </w:tcPr>
          <w:p w:rsidR="00EF55E4" w:rsidRPr="003E130A" w:rsidRDefault="00EF55E4" w:rsidP="00EF55E4">
            <w:pPr>
              <w:jc w:val="right"/>
              <w:rPr>
                <w:rFonts w:ascii="Arial" w:hAnsi="Arial" w:cs="Arial"/>
                <w:sz w:val="20"/>
                <w:szCs w:val="20"/>
              </w:rPr>
            </w:pPr>
            <w:r w:rsidRPr="003E130A">
              <w:rPr>
                <w:rFonts w:ascii="Arial" w:hAnsi="Arial" w:cs="Arial"/>
                <w:sz w:val="20"/>
                <w:szCs w:val="20"/>
              </w:rPr>
              <w:t>(10.3)%</w:t>
            </w:r>
          </w:p>
        </w:tc>
      </w:tr>
      <w:tr w:rsidR="00EF55E4" w:rsidRPr="003E130A" w:rsidTr="00884861">
        <w:trPr>
          <w:trHeight w:val="315"/>
          <w:jc w:val="center"/>
        </w:trPr>
        <w:tc>
          <w:tcPr>
            <w:tcW w:w="4916" w:type="dxa"/>
            <w:tcBorders>
              <w:top w:val="single" w:sz="4" w:space="0" w:color="18B3B9"/>
              <w:left w:val="nil"/>
              <w:bottom w:val="single" w:sz="8" w:space="0" w:color="18B3B9"/>
              <w:right w:val="nil"/>
            </w:tcBorders>
            <w:shd w:val="clear" w:color="auto" w:fill="auto"/>
            <w:noWrap/>
            <w:vAlign w:val="bottom"/>
            <w:hideMark/>
          </w:tcPr>
          <w:p w:rsidR="00EF55E4" w:rsidRPr="003E130A" w:rsidRDefault="00FF3BD1" w:rsidP="00EF55E4">
            <w:pPr>
              <w:widowControl/>
              <w:rPr>
                <w:rFonts w:ascii="Arial" w:eastAsia="Times New Roman" w:hAnsi="Arial" w:cs="Arial"/>
                <w:b/>
                <w:bCs/>
                <w:color w:val="18B3B9"/>
                <w:sz w:val="20"/>
                <w:szCs w:val="20"/>
              </w:rPr>
            </w:pPr>
            <w:r w:rsidRPr="003E130A">
              <w:rPr>
                <w:rFonts w:ascii="Arial" w:eastAsia="Times New Roman" w:hAnsi="Arial" w:cs="Arial"/>
                <w:b/>
                <w:bCs/>
                <w:color w:val="18B3B9"/>
                <w:sz w:val="20"/>
                <w:szCs w:val="20"/>
              </w:rPr>
              <w:t>INGRESOS OPERATIVOS ACTUALES</w:t>
            </w:r>
          </w:p>
        </w:tc>
        <w:tc>
          <w:tcPr>
            <w:tcW w:w="1038" w:type="dxa"/>
            <w:tcBorders>
              <w:top w:val="single" w:sz="4" w:space="0" w:color="18B3B9"/>
              <w:left w:val="nil"/>
              <w:bottom w:val="single" w:sz="8" w:space="0" w:color="18B3B9"/>
              <w:right w:val="nil"/>
            </w:tcBorders>
            <w:shd w:val="clear" w:color="000000" w:fill="FFFFFF"/>
            <w:noWrap/>
            <w:vAlign w:val="bottom"/>
            <w:hideMark/>
          </w:tcPr>
          <w:p w:rsidR="00EF55E4" w:rsidRPr="003E130A" w:rsidRDefault="00EF55E4" w:rsidP="00EF55E4">
            <w:pPr>
              <w:widowControl/>
              <w:jc w:val="right"/>
              <w:rPr>
                <w:rFonts w:ascii="Arial" w:eastAsia="Times New Roman" w:hAnsi="Arial" w:cs="Arial"/>
                <w:b/>
                <w:bCs/>
                <w:color w:val="18B3B9"/>
                <w:sz w:val="20"/>
                <w:szCs w:val="20"/>
              </w:rPr>
            </w:pPr>
            <w:r w:rsidRPr="003E130A">
              <w:rPr>
                <w:rFonts w:ascii="Arial" w:eastAsia="Times New Roman" w:hAnsi="Arial" w:cs="Arial"/>
                <w:b/>
                <w:bCs/>
                <w:color w:val="18B3B9"/>
                <w:sz w:val="20"/>
                <w:szCs w:val="20"/>
              </w:rPr>
              <w:t>174.1</w:t>
            </w:r>
          </w:p>
        </w:tc>
        <w:tc>
          <w:tcPr>
            <w:tcW w:w="1134" w:type="dxa"/>
            <w:tcBorders>
              <w:top w:val="single" w:sz="4" w:space="0" w:color="18B3B9"/>
              <w:left w:val="nil"/>
              <w:bottom w:val="single" w:sz="8" w:space="0" w:color="18B3B9"/>
              <w:right w:val="nil"/>
            </w:tcBorders>
            <w:shd w:val="clear" w:color="000000" w:fill="D1F0F1"/>
            <w:noWrap/>
            <w:vAlign w:val="bottom"/>
            <w:hideMark/>
          </w:tcPr>
          <w:p w:rsidR="00EF55E4" w:rsidRPr="003E130A" w:rsidRDefault="00EF55E4" w:rsidP="00EF55E4">
            <w:pPr>
              <w:jc w:val="right"/>
              <w:rPr>
                <w:rFonts w:ascii="Arial" w:hAnsi="Arial" w:cs="Arial"/>
                <w:b/>
                <w:bCs/>
                <w:color w:val="18B3B9"/>
                <w:sz w:val="20"/>
                <w:szCs w:val="20"/>
              </w:rPr>
            </w:pPr>
            <w:r w:rsidRPr="003E130A">
              <w:rPr>
                <w:rFonts w:ascii="Arial" w:hAnsi="Arial" w:cs="Arial"/>
                <w:b/>
                <w:bCs/>
                <w:color w:val="18B3B9"/>
                <w:sz w:val="20"/>
                <w:szCs w:val="20"/>
              </w:rPr>
              <w:t>98.1</w:t>
            </w:r>
          </w:p>
        </w:tc>
        <w:tc>
          <w:tcPr>
            <w:tcW w:w="917" w:type="dxa"/>
            <w:tcBorders>
              <w:top w:val="single" w:sz="4" w:space="0" w:color="18B3B9"/>
              <w:left w:val="nil"/>
              <w:bottom w:val="single" w:sz="8" w:space="0" w:color="18B3B9"/>
              <w:right w:val="nil"/>
            </w:tcBorders>
            <w:shd w:val="clear" w:color="000000" w:fill="FFFFFF"/>
            <w:noWrap/>
            <w:vAlign w:val="bottom"/>
            <w:hideMark/>
          </w:tcPr>
          <w:p w:rsidR="00EF55E4" w:rsidRPr="003E130A" w:rsidRDefault="00EF55E4" w:rsidP="00EF55E4">
            <w:pPr>
              <w:jc w:val="right"/>
              <w:rPr>
                <w:rFonts w:ascii="Arial" w:hAnsi="Arial" w:cs="Arial"/>
                <w:b/>
                <w:bCs/>
                <w:color w:val="18B3B9"/>
                <w:sz w:val="20"/>
                <w:szCs w:val="20"/>
              </w:rPr>
            </w:pPr>
            <w:r w:rsidRPr="003E130A">
              <w:rPr>
                <w:rFonts w:ascii="Arial" w:hAnsi="Arial" w:cs="Arial"/>
                <w:b/>
                <w:bCs/>
                <w:color w:val="18B3B9"/>
                <w:sz w:val="20"/>
                <w:szCs w:val="20"/>
              </w:rPr>
              <w:t>(43.7)%</w:t>
            </w:r>
          </w:p>
        </w:tc>
        <w:tc>
          <w:tcPr>
            <w:tcW w:w="917" w:type="dxa"/>
            <w:tcBorders>
              <w:top w:val="single" w:sz="4" w:space="0" w:color="18B3B9"/>
              <w:left w:val="nil"/>
              <w:bottom w:val="single" w:sz="8" w:space="0" w:color="18B3B9"/>
              <w:right w:val="nil"/>
            </w:tcBorders>
            <w:shd w:val="clear" w:color="000000" w:fill="FFFFFF"/>
            <w:noWrap/>
            <w:vAlign w:val="bottom"/>
            <w:hideMark/>
          </w:tcPr>
          <w:p w:rsidR="00EF55E4" w:rsidRPr="003E130A" w:rsidRDefault="00EF55E4" w:rsidP="00EF55E4">
            <w:pPr>
              <w:jc w:val="right"/>
              <w:rPr>
                <w:rFonts w:ascii="Arial" w:hAnsi="Arial" w:cs="Arial"/>
                <w:b/>
                <w:bCs/>
                <w:color w:val="18B3B9"/>
                <w:sz w:val="20"/>
                <w:szCs w:val="20"/>
              </w:rPr>
            </w:pPr>
            <w:r w:rsidRPr="003E130A">
              <w:rPr>
                <w:rFonts w:ascii="Arial" w:hAnsi="Arial" w:cs="Arial"/>
                <w:b/>
                <w:bCs/>
                <w:color w:val="18B3B9"/>
                <w:sz w:val="20"/>
                <w:szCs w:val="20"/>
              </w:rPr>
              <w:t>(43.2)%</w:t>
            </w:r>
          </w:p>
        </w:tc>
      </w:tr>
      <w:tr w:rsidR="00EF55E4" w:rsidRPr="003E130A" w:rsidTr="00884861">
        <w:trPr>
          <w:trHeight w:val="300"/>
          <w:jc w:val="center"/>
        </w:trPr>
        <w:tc>
          <w:tcPr>
            <w:tcW w:w="4916" w:type="dxa"/>
            <w:tcBorders>
              <w:top w:val="nil"/>
              <w:left w:val="nil"/>
              <w:bottom w:val="nil"/>
              <w:right w:val="nil"/>
            </w:tcBorders>
            <w:shd w:val="clear" w:color="auto" w:fill="auto"/>
            <w:noWrap/>
            <w:vAlign w:val="bottom"/>
            <w:hideMark/>
          </w:tcPr>
          <w:p w:rsidR="00EF55E4" w:rsidRPr="003E130A" w:rsidRDefault="00FF3BD1" w:rsidP="00EF55E4">
            <w:pPr>
              <w:widowControl/>
              <w:rPr>
                <w:rFonts w:ascii="Arial" w:eastAsia="Times New Roman" w:hAnsi="Arial" w:cs="Arial"/>
                <w:sz w:val="20"/>
                <w:szCs w:val="20"/>
              </w:rPr>
            </w:pPr>
            <w:proofErr w:type="spellStart"/>
            <w:r w:rsidRPr="003E130A">
              <w:rPr>
                <w:rFonts w:ascii="Arial" w:eastAsia="Times New Roman" w:hAnsi="Arial" w:cs="Arial"/>
                <w:sz w:val="20"/>
                <w:szCs w:val="20"/>
              </w:rPr>
              <w:t>Otros</w:t>
            </w:r>
            <w:proofErr w:type="spellEnd"/>
            <w:r w:rsidRPr="003E130A">
              <w:rPr>
                <w:rFonts w:ascii="Arial" w:eastAsia="Times New Roman" w:hAnsi="Arial" w:cs="Arial"/>
                <w:sz w:val="20"/>
                <w:szCs w:val="20"/>
              </w:rPr>
              <w:t xml:space="preserve"> </w:t>
            </w:r>
            <w:proofErr w:type="spellStart"/>
            <w:r w:rsidRPr="003E130A">
              <w:rPr>
                <w:rFonts w:ascii="Arial" w:eastAsia="Times New Roman" w:hAnsi="Arial" w:cs="Arial"/>
                <w:sz w:val="20"/>
                <w:szCs w:val="20"/>
              </w:rPr>
              <w:t>ingresos</w:t>
            </w:r>
            <w:proofErr w:type="spellEnd"/>
            <w:r w:rsidRPr="003E130A">
              <w:rPr>
                <w:rFonts w:ascii="Arial" w:eastAsia="Times New Roman" w:hAnsi="Arial" w:cs="Arial"/>
                <w:sz w:val="20"/>
                <w:szCs w:val="20"/>
              </w:rPr>
              <w:t>/</w:t>
            </w:r>
            <w:proofErr w:type="spellStart"/>
            <w:r w:rsidRPr="003E130A">
              <w:rPr>
                <w:rFonts w:ascii="Arial" w:eastAsia="Times New Roman" w:hAnsi="Arial" w:cs="Arial"/>
                <w:sz w:val="20"/>
                <w:szCs w:val="20"/>
              </w:rPr>
              <w:t>gastos</w:t>
            </w:r>
            <w:proofErr w:type="spellEnd"/>
            <w:r w:rsidRPr="003E130A">
              <w:rPr>
                <w:rFonts w:ascii="Arial" w:eastAsia="Times New Roman" w:hAnsi="Arial" w:cs="Arial"/>
                <w:sz w:val="20"/>
                <w:szCs w:val="20"/>
              </w:rPr>
              <w:t xml:space="preserve"> </w:t>
            </w:r>
            <w:proofErr w:type="spellStart"/>
            <w:r w:rsidRPr="003E130A">
              <w:rPr>
                <w:rFonts w:ascii="Arial" w:eastAsia="Times New Roman" w:hAnsi="Arial" w:cs="Arial"/>
                <w:sz w:val="20"/>
                <w:szCs w:val="20"/>
              </w:rPr>
              <w:t>operacionales</w:t>
            </w:r>
            <w:proofErr w:type="spellEnd"/>
          </w:p>
        </w:tc>
        <w:tc>
          <w:tcPr>
            <w:tcW w:w="1038" w:type="dxa"/>
            <w:tcBorders>
              <w:top w:val="nil"/>
              <w:left w:val="nil"/>
              <w:bottom w:val="nil"/>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sz w:val="20"/>
                <w:szCs w:val="20"/>
              </w:rPr>
            </w:pPr>
            <w:r w:rsidRPr="003E130A">
              <w:rPr>
                <w:rFonts w:ascii="Arial" w:eastAsia="Times New Roman" w:hAnsi="Arial" w:cs="Arial"/>
                <w:sz w:val="20"/>
                <w:szCs w:val="20"/>
              </w:rPr>
              <w:t>0.1</w:t>
            </w:r>
          </w:p>
        </w:tc>
        <w:tc>
          <w:tcPr>
            <w:tcW w:w="1134" w:type="dxa"/>
            <w:tcBorders>
              <w:top w:val="nil"/>
              <w:left w:val="nil"/>
              <w:bottom w:val="nil"/>
              <w:right w:val="nil"/>
            </w:tcBorders>
            <w:shd w:val="clear" w:color="000000" w:fill="D1F0F1"/>
            <w:noWrap/>
            <w:vAlign w:val="center"/>
            <w:hideMark/>
          </w:tcPr>
          <w:p w:rsidR="00EF55E4" w:rsidRPr="003E130A" w:rsidRDefault="00EF55E4" w:rsidP="00EF55E4">
            <w:pPr>
              <w:jc w:val="right"/>
              <w:rPr>
                <w:rFonts w:ascii="Arial" w:hAnsi="Arial" w:cs="Arial"/>
                <w:sz w:val="20"/>
                <w:szCs w:val="20"/>
              </w:rPr>
            </w:pPr>
            <w:r w:rsidRPr="003E130A">
              <w:rPr>
                <w:rFonts w:ascii="Arial" w:hAnsi="Arial" w:cs="Arial"/>
                <w:sz w:val="20"/>
                <w:szCs w:val="20"/>
              </w:rPr>
              <w:t>(2.4)</w:t>
            </w:r>
          </w:p>
        </w:tc>
        <w:tc>
          <w:tcPr>
            <w:tcW w:w="917" w:type="dxa"/>
            <w:tcBorders>
              <w:top w:val="single" w:sz="4" w:space="0" w:color="BFBFBF"/>
              <w:left w:val="nil"/>
              <w:bottom w:val="nil"/>
              <w:right w:val="nil"/>
            </w:tcBorders>
            <w:shd w:val="clear" w:color="000000" w:fill="FFFFFF"/>
            <w:noWrap/>
            <w:vAlign w:val="bottom"/>
            <w:hideMark/>
          </w:tcPr>
          <w:p w:rsidR="00EF55E4" w:rsidRPr="003E130A" w:rsidRDefault="00EF55E4" w:rsidP="00EF55E4">
            <w:pPr>
              <w:jc w:val="right"/>
              <w:rPr>
                <w:rFonts w:ascii="Arial" w:hAnsi="Arial" w:cs="Arial"/>
                <w:sz w:val="20"/>
                <w:szCs w:val="20"/>
              </w:rPr>
            </w:pPr>
            <w:r w:rsidRPr="003E130A">
              <w:rPr>
                <w:rFonts w:ascii="Arial" w:hAnsi="Arial" w:cs="Arial"/>
                <w:sz w:val="20"/>
                <w:szCs w:val="20"/>
              </w:rPr>
              <w:t>N.A</w:t>
            </w:r>
          </w:p>
        </w:tc>
        <w:tc>
          <w:tcPr>
            <w:tcW w:w="917" w:type="dxa"/>
            <w:tcBorders>
              <w:top w:val="single" w:sz="4" w:space="0" w:color="BFBFBF"/>
              <w:left w:val="nil"/>
              <w:bottom w:val="nil"/>
              <w:right w:val="nil"/>
            </w:tcBorders>
            <w:shd w:val="clear" w:color="000000" w:fill="FFFFFF"/>
            <w:noWrap/>
            <w:vAlign w:val="bottom"/>
            <w:hideMark/>
          </w:tcPr>
          <w:p w:rsidR="00EF55E4" w:rsidRPr="003E130A" w:rsidRDefault="00EF55E4" w:rsidP="00EF55E4">
            <w:pPr>
              <w:jc w:val="right"/>
              <w:rPr>
                <w:rFonts w:ascii="Arial" w:hAnsi="Arial" w:cs="Arial"/>
                <w:sz w:val="20"/>
                <w:szCs w:val="20"/>
              </w:rPr>
            </w:pPr>
            <w:r w:rsidRPr="003E130A">
              <w:rPr>
                <w:rFonts w:ascii="Arial" w:hAnsi="Arial" w:cs="Arial"/>
                <w:sz w:val="20"/>
                <w:szCs w:val="20"/>
              </w:rPr>
              <w:t>N.A</w:t>
            </w:r>
          </w:p>
        </w:tc>
      </w:tr>
      <w:tr w:rsidR="00EF55E4" w:rsidRPr="003E130A" w:rsidTr="00884861">
        <w:trPr>
          <w:trHeight w:val="315"/>
          <w:jc w:val="center"/>
        </w:trPr>
        <w:tc>
          <w:tcPr>
            <w:tcW w:w="4916" w:type="dxa"/>
            <w:tcBorders>
              <w:top w:val="single" w:sz="4" w:space="0" w:color="18B3B9"/>
              <w:left w:val="nil"/>
              <w:bottom w:val="nil"/>
              <w:right w:val="nil"/>
            </w:tcBorders>
            <w:shd w:val="clear" w:color="auto" w:fill="auto"/>
            <w:noWrap/>
            <w:vAlign w:val="bottom"/>
            <w:hideMark/>
          </w:tcPr>
          <w:p w:rsidR="00EF55E4" w:rsidRPr="003E130A" w:rsidRDefault="00FF3BD1" w:rsidP="00EF55E4">
            <w:pPr>
              <w:widowControl/>
              <w:rPr>
                <w:rFonts w:ascii="Arial" w:eastAsia="Times New Roman" w:hAnsi="Arial" w:cs="Arial"/>
                <w:b/>
                <w:bCs/>
                <w:color w:val="18B3B9"/>
                <w:sz w:val="20"/>
                <w:szCs w:val="20"/>
              </w:rPr>
            </w:pPr>
            <w:r w:rsidRPr="003E130A">
              <w:rPr>
                <w:rFonts w:ascii="Arial" w:eastAsia="Times New Roman" w:hAnsi="Arial" w:cs="Arial"/>
                <w:b/>
                <w:bCs/>
                <w:color w:val="18B3B9"/>
                <w:sz w:val="20"/>
                <w:szCs w:val="20"/>
              </w:rPr>
              <w:t>INGRESO OPERACIONAL</w:t>
            </w:r>
          </w:p>
        </w:tc>
        <w:tc>
          <w:tcPr>
            <w:tcW w:w="1038" w:type="dxa"/>
            <w:tcBorders>
              <w:top w:val="single" w:sz="4" w:space="0" w:color="18B3B9"/>
              <w:left w:val="nil"/>
              <w:bottom w:val="nil"/>
              <w:right w:val="nil"/>
            </w:tcBorders>
            <w:shd w:val="clear" w:color="000000" w:fill="FFFFFF"/>
            <w:noWrap/>
            <w:vAlign w:val="bottom"/>
            <w:hideMark/>
          </w:tcPr>
          <w:p w:rsidR="00EF55E4" w:rsidRPr="003E130A" w:rsidRDefault="00EF55E4" w:rsidP="00EF55E4">
            <w:pPr>
              <w:widowControl/>
              <w:jc w:val="right"/>
              <w:rPr>
                <w:rFonts w:ascii="Arial" w:eastAsia="Times New Roman" w:hAnsi="Arial" w:cs="Arial"/>
                <w:b/>
                <w:bCs/>
                <w:color w:val="18B3B9"/>
                <w:sz w:val="20"/>
                <w:szCs w:val="20"/>
              </w:rPr>
            </w:pPr>
            <w:r w:rsidRPr="003E130A">
              <w:rPr>
                <w:rFonts w:ascii="Arial" w:eastAsia="Times New Roman" w:hAnsi="Arial" w:cs="Arial"/>
                <w:b/>
                <w:bCs/>
                <w:color w:val="18B3B9"/>
                <w:sz w:val="20"/>
                <w:szCs w:val="20"/>
              </w:rPr>
              <w:t>174.2</w:t>
            </w:r>
          </w:p>
        </w:tc>
        <w:tc>
          <w:tcPr>
            <w:tcW w:w="1134" w:type="dxa"/>
            <w:tcBorders>
              <w:top w:val="single" w:sz="4" w:space="0" w:color="18B3B9"/>
              <w:left w:val="nil"/>
              <w:bottom w:val="nil"/>
              <w:right w:val="nil"/>
            </w:tcBorders>
            <w:shd w:val="clear" w:color="000000" w:fill="D1F0F1"/>
            <w:noWrap/>
            <w:vAlign w:val="bottom"/>
            <w:hideMark/>
          </w:tcPr>
          <w:p w:rsidR="00EF55E4" w:rsidRPr="003E130A" w:rsidRDefault="00EF55E4" w:rsidP="00EF55E4">
            <w:pPr>
              <w:jc w:val="right"/>
              <w:rPr>
                <w:rFonts w:ascii="Arial" w:hAnsi="Arial" w:cs="Arial"/>
                <w:b/>
                <w:bCs/>
                <w:color w:val="18B3B9"/>
                <w:sz w:val="20"/>
                <w:szCs w:val="20"/>
              </w:rPr>
            </w:pPr>
            <w:r w:rsidRPr="003E130A">
              <w:rPr>
                <w:rFonts w:ascii="Arial" w:hAnsi="Arial" w:cs="Arial"/>
                <w:b/>
                <w:bCs/>
                <w:color w:val="18B3B9"/>
                <w:sz w:val="20"/>
                <w:szCs w:val="20"/>
              </w:rPr>
              <w:t>95.7</w:t>
            </w:r>
          </w:p>
        </w:tc>
        <w:tc>
          <w:tcPr>
            <w:tcW w:w="917" w:type="dxa"/>
            <w:tcBorders>
              <w:top w:val="single" w:sz="4" w:space="0" w:color="18B3B9"/>
              <w:left w:val="nil"/>
              <w:bottom w:val="nil"/>
              <w:right w:val="nil"/>
            </w:tcBorders>
            <w:shd w:val="clear" w:color="000000" w:fill="FFFFFF"/>
            <w:noWrap/>
            <w:vAlign w:val="bottom"/>
            <w:hideMark/>
          </w:tcPr>
          <w:p w:rsidR="00EF55E4" w:rsidRPr="003E130A" w:rsidRDefault="00EF55E4" w:rsidP="00EF55E4">
            <w:pPr>
              <w:jc w:val="right"/>
              <w:rPr>
                <w:rFonts w:ascii="Arial" w:hAnsi="Arial" w:cs="Arial"/>
                <w:b/>
                <w:bCs/>
                <w:color w:val="18B3B9"/>
                <w:sz w:val="20"/>
                <w:szCs w:val="20"/>
              </w:rPr>
            </w:pPr>
            <w:r w:rsidRPr="003E130A">
              <w:rPr>
                <w:rFonts w:ascii="Arial" w:hAnsi="Arial" w:cs="Arial"/>
                <w:b/>
                <w:bCs/>
                <w:color w:val="18B3B9"/>
                <w:sz w:val="20"/>
                <w:szCs w:val="20"/>
              </w:rPr>
              <w:t>(45.1)%</w:t>
            </w:r>
          </w:p>
        </w:tc>
        <w:tc>
          <w:tcPr>
            <w:tcW w:w="917" w:type="dxa"/>
            <w:tcBorders>
              <w:top w:val="single" w:sz="4" w:space="0" w:color="18B3B9"/>
              <w:left w:val="nil"/>
              <w:bottom w:val="nil"/>
              <w:right w:val="nil"/>
            </w:tcBorders>
            <w:shd w:val="clear" w:color="000000" w:fill="FFFFFF"/>
            <w:noWrap/>
            <w:vAlign w:val="bottom"/>
            <w:hideMark/>
          </w:tcPr>
          <w:p w:rsidR="00EF55E4" w:rsidRPr="003E130A" w:rsidRDefault="00EF55E4" w:rsidP="00EF55E4">
            <w:pPr>
              <w:jc w:val="right"/>
              <w:rPr>
                <w:rFonts w:ascii="Arial" w:hAnsi="Arial" w:cs="Arial"/>
                <w:b/>
                <w:bCs/>
                <w:color w:val="18B3B9"/>
                <w:sz w:val="20"/>
                <w:szCs w:val="20"/>
              </w:rPr>
            </w:pPr>
            <w:r w:rsidRPr="003E130A">
              <w:rPr>
                <w:rFonts w:ascii="Arial" w:hAnsi="Arial" w:cs="Arial"/>
                <w:b/>
                <w:bCs/>
                <w:color w:val="18B3B9"/>
                <w:sz w:val="20"/>
                <w:szCs w:val="20"/>
              </w:rPr>
              <w:t>(44.6)%</w:t>
            </w:r>
          </w:p>
        </w:tc>
      </w:tr>
      <w:tr w:rsidR="00EF55E4" w:rsidRPr="003E130A" w:rsidTr="00884861">
        <w:trPr>
          <w:trHeight w:val="315"/>
          <w:jc w:val="center"/>
        </w:trPr>
        <w:tc>
          <w:tcPr>
            <w:tcW w:w="4916" w:type="dxa"/>
            <w:tcBorders>
              <w:top w:val="single" w:sz="4" w:space="0" w:color="03365F"/>
              <w:left w:val="nil"/>
              <w:bottom w:val="single" w:sz="8" w:space="0" w:color="03365F"/>
              <w:right w:val="nil"/>
            </w:tcBorders>
            <w:shd w:val="clear" w:color="auto" w:fill="auto"/>
            <w:noWrap/>
            <w:vAlign w:val="bottom"/>
            <w:hideMark/>
          </w:tcPr>
          <w:p w:rsidR="00EF55E4" w:rsidRPr="003E130A" w:rsidRDefault="00FF3BD1" w:rsidP="00EF55E4">
            <w:pPr>
              <w:widowControl/>
              <w:rPr>
                <w:rFonts w:ascii="Arial" w:eastAsia="Times New Roman" w:hAnsi="Arial" w:cs="Arial"/>
                <w:b/>
                <w:bCs/>
                <w:color w:val="03365F"/>
                <w:sz w:val="20"/>
                <w:szCs w:val="20"/>
              </w:rPr>
            </w:pPr>
            <w:r w:rsidRPr="003E130A">
              <w:rPr>
                <w:rFonts w:ascii="Arial" w:eastAsia="Times New Roman" w:hAnsi="Arial" w:cs="Arial"/>
                <w:b/>
                <w:bCs/>
                <w:color w:val="03365F"/>
                <w:sz w:val="20"/>
                <w:szCs w:val="20"/>
              </w:rPr>
              <w:t>INGRESO NETO</w:t>
            </w:r>
          </w:p>
        </w:tc>
        <w:tc>
          <w:tcPr>
            <w:tcW w:w="1038" w:type="dxa"/>
            <w:tcBorders>
              <w:top w:val="single" w:sz="4" w:space="0" w:color="03365F"/>
              <w:left w:val="nil"/>
              <w:bottom w:val="single" w:sz="8" w:space="0" w:color="03365F"/>
              <w:right w:val="nil"/>
            </w:tcBorders>
            <w:shd w:val="clear" w:color="000000" w:fill="FFFFFF"/>
            <w:noWrap/>
            <w:vAlign w:val="bottom"/>
            <w:hideMark/>
          </w:tcPr>
          <w:p w:rsidR="00EF55E4" w:rsidRPr="003E130A" w:rsidRDefault="00EF55E4" w:rsidP="00EF55E4">
            <w:pPr>
              <w:widowControl/>
              <w:jc w:val="right"/>
              <w:rPr>
                <w:rFonts w:ascii="Arial" w:eastAsia="Times New Roman" w:hAnsi="Arial" w:cs="Arial"/>
                <w:b/>
                <w:bCs/>
                <w:color w:val="03365F"/>
                <w:sz w:val="20"/>
                <w:szCs w:val="20"/>
              </w:rPr>
            </w:pPr>
            <w:r w:rsidRPr="003E130A">
              <w:rPr>
                <w:rFonts w:ascii="Arial" w:eastAsia="Times New Roman" w:hAnsi="Arial" w:cs="Arial"/>
                <w:b/>
                <w:bCs/>
                <w:color w:val="03365F"/>
                <w:sz w:val="20"/>
                <w:szCs w:val="20"/>
              </w:rPr>
              <w:t>117.3</w:t>
            </w:r>
          </w:p>
        </w:tc>
        <w:tc>
          <w:tcPr>
            <w:tcW w:w="1134" w:type="dxa"/>
            <w:tcBorders>
              <w:top w:val="single" w:sz="4" w:space="0" w:color="03365F"/>
              <w:left w:val="nil"/>
              <w:bottom w:val="single" w:sz="8" w:space="0" w:color="03365F"/>
              <w:right w:val="nil"/>
            </w:tcBorders>
            <w:shd w:val="clear" w:color="000000" w:fill="D1F0F1"/>
            <w:noWrap/>
            <w:vAlign w:val="bottom"/>
            <w:hideMark/>
          </w:tcPr>
          <w:p w:rsidR="00EF55E4" w:rsidRPr="003E130A" w:rsidRDefault="00EF55E4" w:rsidP="00EF55E4">
            <w:pPr>
              <w:jc w:val="right"/>
              <w:rPr>
                <w:rFonts w:ascii="Arial" w:hAnsi="Arial" w:cs="Arial"/>
                <w:b/>
                <w:bCs/>
                <w:color w:val="03365F"/>
                <w:sz w:val="20"/>
                <w:szCs w:val="20"/>
              </w:rPr>
            </w:pPr>
            <w:r w:rsidRPr="003E130A">
              <w:rPr>
                <w:rFonts w:ascii="Arial" w:hAnsi="Arial" w:cs="Arial"/>
                <w:b/>
                <w:bCs/>
                <w:color w:val="03365F"/>
                <w:sz w:val="20"/>
                <w:szCs w:val="20"/>
              </w:rPr>
              <w:t>52.4</w:t>
            </w:r>
          </w:p>
        </w:tc>
        <w:tc>
          <w:tcPr>
            <w:tcW w:w="917" w:type="dxa"/>
            <w:tcBorders>
              <w:top w:val="single" w:sz="4" w:space="0" w:color="03365F"/>
              <w:left w:val="nil"/>
              <w:bottom w:val="single" w:sz="8" w:space="0" w:color="03365F"/>
              <w:right w:val="nil"/>
            </w:tcBorders>
            <w:shd w:val="clear" w:color="000000" w:fill="FFFFFF"/>
            <w:noWrap/>
            <w:vAlign w:val="bottom"/>
            <w:hideMark/>
          </w:tcPr>
          <w:p w:rsidR="00EF55E4" w:rsidRPr="003E130A" w:rsidRDefault="00EF55E4" w:rsidP="00EF55E4">
            <w:pPr>
              <w:jc w:val="right"/>
              <w:rPr>
                <w:rFonts w:ascii="Arial" w:hAnsi="Arial" w:cs="Arial"/>
                <w:b/>
                <w:bCs/>
                <w:color w:val="03365F"/>
                <w:sz w:val="20"/>
                <w:szCs w:val="20"/>
              </w:rPr>
            </w:pPr>
            <w:r w:rsidRPr="003E130A">
              <w:rPr>
                <w:rFonts w:ascii="Arial" w:hAnsi="Arial" w:cs="Arial"/>
                <w:b/>
                <w:bCs/>
                <w:color w:val="03365F"/>
                <w:sz w:val="20"/>
                <w:szCs w:val="20"/>
              </w:rPr>
              <w:t>(55.3)%</w:t>
            </w:r>
          </w:p>
        </w:tc>
        <w:tc>
          <w:tcPr>
            <w:tcW w:w="917" w:type="dxa"/>
            <w:tcBorders>
              <w:top w:val="single" w:sz="4" w:space="0" w:color="03365F"/>
              <w:left w:val="nil"/>
              <w:bottom w:val="single" w:sz="8" w:space="0" w:color="03365F"/>
              <w:right w:val="nil"/>
            </w:tcBorders>
            <w:shd w:val="clear" w:color="000000" w:fill="FFFFFF"/>
            <w:noWrap/>
            <w:vAlign w:val="bottom"/>
            <w:hideMark/>
          </w:tcPr>
          <w:p w:rsidR="00EF55E4" w:rsidRPr="003E130A" w:rsidRDefault="00EF55E4" w:rsidP="00EF55E4">
            <w:pPr>
              <w:jc w:val="right"/>
              <w:rPr>
                <w:rFonts w:ascii="Arial" w:hAnsi="Arial" w:cs="Arial"/>
                <w:b/>
                <w:bCs/>
                <w:color w:val="03365F"/>
                <w:sz w:val="20"/>
                <w:szCs w:val="20"/>
              </w:rPr>
            </w:pPr>
            <w:r w:rsidRPr="003E130A">
              <w:rPr>
                <w:rFonts w:ascii="Arial" w:hAnsi="Arial" w:cs="Arial"/>
                <w:b/>
                <w:bCs/>
                <w:color w:val="03365F"/>
                <w:sz w:val="20"/>
                <w:szCs w:val="20"/>
              </w:rPr>
              <w:t>(55.2)%</w:t>
            </w:r>
          </w:p>
        </w:tc>
      </w:tr>
      <w:tr w:rsidR="00F6303E" w:rsidRPr="003E130A" w:rsidTr="00884861">
        <w:trPr>
          <w:trHeight w:val="75"/>
          <w:jc w:val="center"/>
        </w:trPr>
        <w:tc>
          <w:tcPr>
            <w:tcW w:w="4916" w:type="dxa"/>
            <w:tcBorders>
              <w:top w:val="nil"/>
              <w:left w:val="nil"/>
              <w:bottom w:val="nil"/>
              <w:right w:val="nil"/>
            </w:tcBorders>
            <w:shd w:val="clear" w:color="auto" w:fill="auto"/>
            <w:noWrap/>
            <w:vAlign w:val="bottom"/>
            <w:hideMark/>
          </w:tcPr>
          <w:p w:rsidR="00F6303E" w:rsidRPr="003E130A" w:rsidRDefault="00F6303E" w:rsidP="00F6303E">
            <w:pPr>
              <w:widowControl/>
              <w:jc w:val="right"/>
              <w:rPr>
                <w:rFonts w:ascii="Arial" w:eastAsia="Times New Roman" w:hAnsi="Arial" w:cs="Arial"/>
                <w:b/>
                <w:bCs/>
                <w:color w:val="03365F"/>
                <w:sz w:val="20"/>
                <w:szCs w:val="20"/>
              </w:rPr>
            </w:pPr>
          </w:p>
        </w:tc>
        <w:tc>
          <w:tcPr>
            <w:tcW w:w="1038" w:type="dxa"/>
            <w:tcBorders>
              <w:top w:val="nil"/>
              <w:left w:val="nil"/>
              <w:bottom w:val="nil"/>
              <w:right w:val="nil"/>
            </w:tcBorders>
            <w:shd w:val="clear" w:color="auto" w:fill="auto"/>
            <w:noWrap/>
            <w:vAlign w:val="bottom"/>
            <w:hideMark/>
          </w:tcPr>
          <w:p w:rsidR="00F6303E" w:rsidRPr="003E130A" w:rsidRDefault="00F6303E" w:rsidP="00F6303E">
            <w:pPr>
              <w:widowControl/>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rsidR="00F6303E" w:rsidRPr="003E130A" w:rsidRDefault="00F6303E" w:rsidP="00F6303E">
            <w:pPr>
              <w:widowControl/>
              <w:rPr>
                <w:rFonts w:ascii="Arial" w:eastAsia="Times New Roman" w:hAnsi="Arial" w:cs="Arial"/>
                <w:sz w:val="20"/>
                <w:szCs w:val="20"/>
              </w:rPr>
            </w:pPr>
          </w:p>
        </w:tc>
        <w:tc>
          <w:tcPr>
            <w:tcW w:w="917" w:type="dxa"/>
            <w:tcBorders>
              <w:top w:val="nil"/>
              <w:left w:val="nil"/>
              <w:bottom w:val="nil"/>
              <w:right w:val="nil"/>
            </w:tcBorders>
            <w:shd w:val="clear" w:color="auto" w:fill="auto"/>
            <w:noWrap/>
            <w:vAlign w:val="bottom"/>
            <w:hideMark/>
          </w:tcPr>
          <w:p w:rsidR="00F6303E" w:rsidRPr="003E130A" w:rsidRDefault="00F6303E" w:rsidP="00F6303E">
            <w:pPr>
              <w:widowControl/>
              <w:rPr>
                <w:rFonts w:ascii="Arial" w:eastAsia="Times New Roman" w:hAnsi="Arial" w:cs="Arial"/>
                <w:sz w:val="20"/>
                <w:szCs w:val="20"/>
              </w:rPr>
            </w:pPr>
          </w:p>
        </w:tc>
        <w:tc>
          <w:tcPr>
            <w:tcW w:w="917" w:type="dxa"/>
            <w:tcBorders>
              <w:top w:val="nil"/>
              <w:left w:val="nil"/>
              <w:bottom w:val="nil"/>
              <w:right w:val="nil"/>
            </w:tcBorders>
            <w:shd w:val="clear" w:color="auto" w:fill="auto"/>
            <w:noWrap/>
            <w:vAlign w:val="bottom"/>
            <w:hideMark/>
          </w:tcPr>
          <w:p w:rsidR="00F6303E" w:rsidRPr="003E130A" w:rsidRDefault="00F6303E" w:rsidP="00F6303E">
            <w:pPr>
              <w:widowControl/>
              <w:rPr>
                <w:rFonts w:ascii="Arial" w:eastAsia="Times New Roman" w:hAnsi="Arial" w:cs="Arial"/>
                <w:sz w:val="20"/>
                <w:szCs w:val="20"/>
              </w:rPr>
            </w:pPr>
          </w:p>
        </w:tc>
      </w:tr>
      <w:tr w:rsidR="00F6303E" w:rsidRPr="003E130A" w:rsidTr="00884861">
        <w:trPr>
          <w:trHeight w:val="510"/>
          <w:jc w:val="center"/>
        </w:trPr>
        <w:tc>
          <w:tcPr>
            <w:tcW w:w="4916" w:type="dxa"/>
            <w:tcBorders>
              <w:top w:val="nil"/>
              <w:left w:val="nil"/>
              <w:bottom w:val="nil"/>
              <w:right w:val="nil"/>
            </w:tcBorders>
            <w:shd w:val="clear" w:color="000000" w:fill="03365F"/>
            <w:noWrap/>
            <w:vAlign w:val="center"/>
            <w:hideMark/>
          </w:tcPr>
          <w:p w:rsidR="00F6303E" w:rsidRPr="003E130A" w:rsidRDefault="0025389E" w:rsidP="00F6303E">
            <w:pPr>
              <w:widowControl/>
              <w:rPr>
                <w:rFonts w:ascii="Arial" w:eastAsia="Times New Roman" w:hAnsi="Arial" w:cs="Arial"/>
                <w:b/>
                <w:bCs/>
                <w:color w:val="FFFFFF"/>
                <w:sz w:val="20"/>
                <w:szCs w:val="20"/>
              </w:rPr>
            </w:pPr>
            <w:r w:rsidRPr="003E130A">
              <w:rPr>
                <w:rFonts w:ascii="Arial" w:eastAsia="Times New Roman" w:hAnsi="Arial" w:cs="Arial"/>
                <w:b/>
                <w:bCs/>
                <w:color w:val="FFFFFF"/>
                <w:sz w:val="20"/>
                <w:szCs w:val="20"/>
              </w:rPr>
              <w:t>Ratios clave</w:t>
            </w:r>
          </w:p>
        </w:tc>
        <w:tc>
          <w:tcPr>
            <w:tcW w:w="1038" w:type="dxa"/>
            <w:tcBorders>
              <w:top w:val="nil"/>
              <w:left w:val="nil"/>
              <w:bottom w:val="nil"/>
              <w:right w:val="nil"/>
            </w:tcBorders>
            <w:shd w:val="clear" w:color="000000" w:fill="03365F"/>
            <w:vAlign w:val="center"/>
            <w:hideMark/>
          </w:tcPr>
          <w:p w:rsidR="00F6303E" w:rsidRPr="003E130A" w:rsidRDefault="00F6303E" w:rsidP="00F6303E">
            <w:pPr>
              <w:widowControl/>
              <w:jc w:val="right"/>
              <w:rPr>
                <w:rFonts w:ascii="Arial" w:eastAsia="Times New Roman" w:hAnsi="Arial" w:cs="Arial"/>
                <w:b/>
                <w:bCs/>
                <w:color w:val="FFFFFF"/>
                <w:sz w:val="20"/>
                <w:szCs w:val="20"/>
              </w:rPr>
            </w:pPr>
            <w:r w:rsidRPr="003E130A">
              <w:rPr>
                <w:rFonts w:ascii="Arial" w:eastAsia="Times New Roman" w:hAnsi="Arial" w:cs="Arial"/>
                <w:b/>
                <w:bCs/>
                <w:color w:val="FFFFFF"/>
                <w:sz w:val="20"/>
                <w:szCs w:val="20"/>
              </w:rPr>
              <w:t>9M-2019</w:t>
            </w:r>
          </w:p>
        </w:tc>
        <w:tc>
          <w:tcPr>
            <w:tcW w:w="1134" w:type="dxa"/>
            <w:tcBorders>
              <w:top w:val="nil"/>
              <w:left w:val="nil"/>
              <w:bottom w:val="nil"/>
              <w:right w:val="nil"/>
            </w:tcBorders>
            <w:shd w:val="clear" w:color="000000" w:fill="18B3B9"/>
            <w:noWrap/>
            <w:vAlign w:val="center"/>
            <w:hideMark/>
          </w:tcPr>
          <w:p w:rsidR="00F6303E" w:rsidRPr="003E130A" w:rsidRDefault="00F6303E" w:rsidP="00F6303E">
            <w:pPr>
              <w:widowControl/>
              <w:jc w:val="right"/>
              <w:rPr>
                <w:rFonts w:ascii="Arial" w:eastAsia="Times New Roman" w:hAnsi="Arial" w:cs="Arial"/>
                <w:b/>
                <w:bCs/>
                <w:color w:val="FFFFFF"/>
                <w:sz w:val="20"/>
                <w:szCs w:val="20"/>
              </w:rPr>
            </w:pPr>
            <w:r w:rsidRPr="003E130A">
              <w:rPr>
                <w:rFonts w:ascii="Arial" w:eastAsia="Times New Roman" w:hAnsi="Arial" w:cs="Arial"/>
                <w:b/>
                <w:bCs/>
                <w:color w:val="FFFFFF"/>
                <w:sz w:val="20"/>
                <w:szCs w:val="20"/>
              </w:rPr>
              <w:t>9M-2020</w:t>
            </w:r>
          </w:p>
        </w:tc>
        <w:tc>
          <w:tcPr>
            <w:tcW w:w="917" w:type="dxa"/>
            <w:tcBorders>
              <w:top w:val="nil"/>
              <w:left w:val="nil"/>
              <w:bottom w:val="nil"/>
              <w:right w:val="nil"/>
            </w:tcBorders>
            <w:shd w:val="clear" w:color="000000" w:fill="03365F"/>
            <w:noWrap/>
            <w:vAlign w:val="center"/>
            <w:hideMark/>
          </w:tcPr>
          <w:p w:rsidR="00F6303E" w:rsidRPr="003E130A" w:rsidRDefault="00F6303E" w:rsidP="00F6303E">
            <w:pPr>
              <w:widowControl/>
              <w:jc w:val="center"/>
              <w:rPr>
                <w:rFonts w:ascii="Arial" w:eastAsia="Times New Roman" w:hAnsi="Arial" w:cs="Arial"/>
                <w:b/>
                <w:bCs/>
                <w:color w:val="FFFFFF"/>
                <w:sz w:val="20"/>
                <w:szCs w:val="20"/>
              </w:rPr>
            </w:pPr>
            <w:r w:rsidRPr="003E130A">
              <w:rPr>
                <w:rFonts w:ascii="Arial" w:eastAsia="Times New Roman" w:hAnsi="Arial" w:cs="Arial"/>
                <w:b/>
                <w:bCs/>
                <w:color w:val="FFFFFF"/>
                <w:sz w:val="20"/>
                <w:szCs w:val="20"/>
              </w:rPr>
              <w:t>%</w:t>
            </w:r>
          </w:p>
        </w:tc>
        <w:tc>
          <w:tcPr>
            <w:tcW w:w="917" w:type="dxa"/>
            <w:tcBorders>
              <w:top w:val="nil"/>
              <w:left w:val="nil"/>
              <w:bottom w:val="nil"/>
              <w:right w:val="nil"/>
            </w:tcBorders>
            <w:shd w:val="clear" w:color="000000" w:fill="03365F"/>
            <w:vAlign w:val="center"/>
            <w:hideMark/>
          </w:tcPr>
          <w:p w:rsidR="00F6303E" w:rsidRPr="003E130A" w:rsidRDefault="00F6303E" w:rsidP="00F6303E">
            <w:pPr>
              <w:widowControl/>
              <w:jc w:val="center"/>
              <w:rPr>
                <w:rFonts w:ascii="Arial" w:eastAsia="Times New Roman" w:hAnsi="Arial" w:cs="Arial"/>
                <w:b/>
                <w:bCs/>
                <w:color w:val="FFFFFF"/>
                <w:sz w:val="20"/>
                <w:szCs w:val="20"/>
              </w:rPr>
            </w:pPr>
            <w:r w:rsidRPr="003E130A">
              <w:rPr>
                <w:rFonts w:ascii="Arial" w:eastAsia="Times New Roman" w:hAnsi="Arial" w:cs="Arial"/>
                <w:b/>
                <w:bCs/>
                <w:color w:val="FFFFFF"/>
                <w:sz w:val="20"/>
                <w:szCs w:val="20"/>
              </w:rPr>
              <w:t xml:space="preserve">% </w:t>
            </w:r>
            <w:r w:rsidRPr="003E130A">
              <w:rPr>
                <w:rFonts w:ascii="Arial" w:eastAsia="Times New Roman" w:hAnsi="Arial" w:cs="Arial"/>
                <w:b/>
                <w:bCs/>
                <w:color w:val="FFFFFF"/>
                <w:sz w:val="20"/>
                <w:szCs w:val="20"/>
              </w:rPr>
              <w:br/>
              <w:t>ex. FX*</w:t>
            </w:r>
          </w:p>
        </w:tc>
      </w:tr>
      <w:tr w:rsidR="00F6303E" w:rsidRPr="003E130A" w:rsidTr="00884861">
        <w:trPr>
          <w:trHeight w:val="300"/>
          <w:jc w:val="center"/>
        </w:trPr>
        <w:tc>
          <w:tcPr>
            <w:tcW w:w="4916" w:type="dxa"/>
            <w:tcBorders>
              <w:top w:val="single" w:sz="4" w:space="0" w:color="BFBFBF"/>
              <w:left w:val="nil"/>
              <w:bottom w:val="single" w:sz="4" w:space="0" w:color="BFBFBF"/>
              <w:right w:val="nil"/>
            </w:tcBorders>
            <w:shd w:val="clear" w:color="auto" w:fill="auto"/>
            <w:noWrap/>
            <w:vAlign w:val="bottom"/>
            <w:hideMark/>
          </w:tcPr>
          <w:p w:rsidR="00F6303E" w:rsidRPr="003E130A" w:rsidRDefault="00884861" w:rsidP="00884861">
            <w:pPr>
              <w:widowControl/>
              <w:rPr>
                <w:rFonts w:ascii="Arial" w:eastAsia="Times New Roman" w:hAnsi="Arial" w:cs="Arial"/>
                <w:sz w:val="20"/>
                <w:szCs w:val="20"/>
                <w:lang w:val="es-ES"/>
              </w:rPr>
            </w:pPr>
            <w:proofErr w:type="spellStart"/>
            <w:r>
              <w:rPr>
                <w:rFonts w:ascii="Arial" w:eastAsia="Times New Roman" w:hAnsi="Arial" w:cs="Arial"/>
                <w:sz w:val="20"/>
                <w:szCs w:val="20"/>
                <w:lang w:val="es-ES"/>
              </w:rPr>
              <w:t>Loss</w:t>
            </w:r>
            <w:proofErr w:type="spellEnd"/>
            <w:r>
              <w:rPr>
                <w:rFonts w:ascii="Arial" w:eastAsia="Times New Roman" w:hAnsi="Arial" w:cs="Arial"/>
                <w:sz w:val="20"/>
                <w:szCs w:val="20"/>
                <w:lang w:val="es-ES"/>
              </w:rPr>
              <w:t xml:space="preserve"> ratio</w:t>
            </w:r>
            <w:r w:rsidR="0025389E" w:rsidRPr="003E130A">
              <w:rPr>
                <w:rFonts w:ascii="Arial" w:eastAsia="Times New Roman" w:hAnsi="Arial" w:cs="Arial"/>
                <w:sz w:val="20"/>
                <w:szCs w:val="20"/>
                <w:lang w:val="es-ES"/>
              </w:rPr>
              <w:t xml:space="preserve"> net</w:t>
            </w:r>
            <w:r>
              <w:rPr>
                <w:rFonts w:ascii="Arial" w:eastAsia="Times New Roman" w:hAnsi="Arial" w:cs="Arial"/>
                <w:sz w:val="20"/>
                <w:szCs w:val="20"/>
                <w:lang w:val="es-ES"/>
              </w:rPr>
              <w:t>o</w:t>
            </w:r>
            <w:r w:rsidR="0025389E" w:rsidRPr="003E130A">
              <w:rPr>
                <w:rFonts w:ascii="Arial" w:eastAsia="Times New Roman" w:hAnsi="Arial" w:cs="Arial"/>
                <w:sz w:val="20"/>
                <w:szCs w:val="20"/>
                <w:lang w:val="es-ES"/>
              </w:rPr>
              <w:t xml:space="preserve"> de reaseguro</w:t>
            </w:r>
          </w:p>
        </w:tc>
        <w:tc>
          <w:tcPr>
            <w:tcW w:w="1038" w:type="dxa"/>
            <w:tcBorders>
              <w:top w:val="single" w:sz="4" w:space="0" w:color="BFBFBF"/>
              <w:left w:val="nil"/>
              <w:bottom w:val="single" w:sz="4" w:space="0" w:color="BFBFBF"/>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45.1%</w:t>
            </w:r>
          </w:p>
        </w:tc>
        <w:tc>
          <w:tcPr>
            <w:tcW w:w="1134" w:type="dxa"/>
            <w:tcBorders>
              <w:top w:val="single" w:sz="4" w:space="0" w:color="BFBFBF"/>
              <w:left w:val="nil"/>
              <w:bottom w:val="single" w:sz="4" w:space="0" w:color="BFBFBF"/>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55.2%</w:t>
            </w:r>
          </w:p>
        </w:tc>
        <w:tc>
          <w:tcPr>
            <w:tcW w:w="917" w:type="dxa"/>
            <w:tcBorders>
              <w:top w:val="single" w:sz="4" w:space="0" w:color="BFBFBF"/>
              <w:left w:val="nil"/>
              <w:bottom w:val="single" w:sz="4" w:space="0" w:color="BFBFBF"/>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+10.1</w:t>
            </w:r>
          </w:p>
        </w:tc>
        <w:tc>
          <w:tcPr>
            <w:tcW w:w="917" w:type="dxa"/>
            <w:tcBorders>
              <w:top w:val="single" w:sz="4" w:space="0" w:color="BFBFBF"/>
              <w:left w:val="nil"/>
              <w:bottom w:val="single" w:sz="4" w:space="0" w:color="BFBFBF"/>
              <w:right w:val="nil"/>
            </w:tcBorders>
            <w:shd w:val="clear" w:color="000000" w:fill="FFFFFF"/>
            <w:noWrap/>
            <w:vAlign w:val="bottom"/>
            <w:hideMark/>
          </w:tcPr>
          <w:p w:rsidR="00F6303E" w:rsidRPr="003E130A" w:rsidRDefault="00F6303E" w:rsidP="00F6303E">
            <w:pPr>
              <w:widowControl/>
              <w:rPr>
                <w:rFonts w:ascii="Arial" w:eastAsia="Times New Roman" w:hAnsi="Arial" w:cs="Arial"/>
                <w:sz w:val="20"/>
                <w:szCs w:val="20"/>
              </w:rPr>
            </w:pPr>
            <w:proofErr w:type="spellStart"/>
            <w:proofErr w:type="gramStart"/>
            <w:r w:rsidRPr="003E130A">
              <w:rPr>
                <w:rFonts w:ascii="Arial" w:eastAsia="Times New Roman" w:hAnsi="Arial" w:cs="Arial"/>
                <w:sz w:val="20"/>
                <w:szCs w:val="20"/>
              </w:rPr>
              <w:t>ppts</w:t>
            </w:r>
            <w:proofErr w:type="spellEnd"/>
            <w:proofErr w:type="gramEnd"/>
            <w:r w:rsidRPr="003E130A">
              <w:rPr>
                <w:rFonts w:ascii="Arial" w:eastAsia="Times New Roman" w:hAnsi="Arial" w:cs="Arial"/>
                <w:sz w:val="20"/>
                <w:szCs w:val="20"/>
              </w:rPr>
              <w:t>.</w:t>
            </w:r>
          </w:p>
        </w:tc>
      </w:tr>
      <w:tr w:rsidR="00F6303E" w:rsidRPr="003E130A" w:rsidTr="00884861">
        <w:trPr>
          <w:trHeight w:val="300"/>
          <w:jc w:val="center"/>
        </w:trPr>
        <w:tc>
          <w:tcPr>
            <w:tcW w:w="4916" w:type="dxa"/>
            <w:tcBorders>
              <w:top w:val="nil"/>
              <w:left w:val="nil"/>
              <w:bottom w:val="single" w:sz="4" w:space="0" w:color="BFBFBF"/>
              <w:right w:val="nil"/>
            </w:tcBorders>
            <w:shd w:val="clear" w:color="auto" w:fill="auto"/>
            <w:noWrap/>
            <w:vAlign w:val="bottom"/>
            <w:hideMark/>
          </w:tcPr>
          <w:p w:rsidR="00F6303E" w:rsidRPr="003E130A" w:rsidRDefault="00884861" w:rsidP="00F6303E">
            <w:pPr>
              <w:widowControl/>
              <w:rPr>
                <w:rFonts w:ascii="Arial" w:eastAsia="Times New Roman" w:hAnsi="Arial" w:cs="Arial"/>
                <w:sz w:val="20"/>
                <w:szCs w:val="20"/>
                <w:lang w:val="es-ES"/>
              </w:rPr>
            </w:pPr>
            <w:r>
              <w:rPr>
                <w:rFonts w:ascii="Arial" w:eastAsia="Times New Roman" w:hAnsi="Arial" w:cs="Arial"/>
                <w:sz w:val="20"/>
                <w:szCs w:val="20"/>
                <w:lang w:val="es-ES"/>
              </w:rPr>
              <w:t>Ratio de costo</w:t>
            </w:r>
            <w:r w:rsidR="0025389E" w:rsidRPr="003E130A">
              <w:rPr>
                <w:rFonts w:ascii="Arial" w:eastAsia="Times New Roman" w:hAnsi="Arial" w:cs="Arial"/>
                <w:sz w:val="20"/>
                <w:szCs w:val="20"/>
                <w:lang w:val="es-ES"/>
              </w:rPr>
              <w:t>s neto de reaseguro</w:t>
            </w:r>
          </w:p>
        </w:tc>
        <w:tc>
          <w:tcPr>
            <w:tcW w:w="1038" w:type="dxa"/>
            <w:tcBorders>
              <w:top w:val="nil"/>
              <w:left w:val="nil"/>
              <w:bottom w:val="nil"/>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31.7%</w:t>
            </w:r>
          </w:p>
        </w:tc>
        <w:tc>
          <w:tcPr>
            <w:tcW w:w="1134" w:type="dxa"/>
            <w:tcBorders>
              <w:top w:val="nil"/>
              <w:left w:val="nil"/>
              <w:bottom w:val="nil"/>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30.1%</w:t>
            </w:r>
          </w:p>
        </w:tc>
        <w:tc>
          <w:tcPr>
            <w:tcW w:w="917" w:type="dxa"/>
            <w:tcBorders>
              <w:top w:val="nil"/>
              <w:left w:val="nil"/>
              <w:bottom w:val="nil"/>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(1.6)</w:t>
            </w:r>
          </w:p>
        </w:tc>
        <w:tc>
          <w:tcPr>
            <w:tcW w:w="917" w:type="dxa"/>
            <w:tcBorders>
              <w:top w:val="nil"/>
              <w:left w:val="nil"/>
              <w:bottom w:val="nil"/>
              <w:right w:val="nil"/>
            </w:tcBorders>
            <w:shd w:val="clear" w:color="000000" w:fill="FFFFFF"/>
            <w:noWrap/>
            <w:vAlign w:val="bottom"/>
            <w:hideMark/>
          </w:tcPr>
          <w:p w:rsidR="00F6303E" w:rsidRPr="003E130A" w:rsidRDefault="00F6303E" w:rsidP="00F6303E">
            <w:pPr>
              <w:widowControl/>
              <w:rPr>
                <w:rFonts w:ascii="Arial" w:eastAsia="Times New Roman" w:hAnsi="Arial" w:cs="Arial"/>
                <w:sz w:val="20"/>
                <w:szCs w:val="20"/>
              </w:rPr>
            </w:pPr>
            <w:r w:rsidRPr="003E130A">
              <w:rPr>
                <w:rFonts w:ascii="Arial" w:eastAsia="Times New Roman" w:hAnsi="Arial" w:cs="Arial"/>
                <w:sz w:val="20"/>
                <w:szCs w:val="20"/>
              </w:rPr>
              <w:t>ppt.</w:t>
            </w:r>
          </w:p>
        </w:tc>
      </w:tr>
      <w:tr w:rsidR="00F6303E" w:rsidRPr="003E130A" w:rsidTr="00884861">
        <w:trPr>
          <w:trHeight w:val="315"/>
          <w:jc w:val="center"/>
        </w:trPr>
        <w:tc>
          <w:tcPr>
            <w:tcW w:w="4916" w:type="dxa"/>
            <w:tcBorders>
              <w:top w:val="single" w:sz="4" w:space="0" w:color="03365F"/>
              <w:left w:val="nil"/>
              <w:bottom w:val="single" w:sz="8" w:space="0" w:color="03365F"/>
              <w:right w:val="nil"/>
            </w:tcBorders>
            <w:shd w:val="clear" w:color="auto" w:fill="auto"/>
            <w:noWrap/>
            <w:vAlign w:val="bottom"/>
            <w:hideMark/>
          </w:tcPr>
          <w:p w:rsidR="00F6303E" w:rsidRPr="003E130A" w:rsidRDefault="007A3A8B" w:rsidP="00F6303E">
            <w:pPr>
              <w:widowControl/>
              <w:rPr>
                <w:rFonts w:ascii="Arial" w:eastAsia="Times New Roman" w:hAnsi="Arial" w:cs="Arial"/>
                <w:b/>
                <w:bCs/>
                <w:color w:val="03365F"/>
                <w:sz w:val="20"/>
                <w:szCs w:val="20"/>
                <w:lang w:val="es-ES"/>
              </w:rPr>
            </w:pPr>
            <w:r w:rsidRPr="003E130A">
              <w:rPr>
                <w:rFonts w:ascii="Arial" w:eastAsia="Times New Roman" w:hAnsi="Arial" w:cs="Arial"/>
                <w:b/>
                <w:bCs/>
                <w:color w:val="03365F"/>
                <w:sz w:val="20"/>
                <w:szCs w:val="20"/>
                <w:lang w:val="es-ES"/>
              </w:rPr>
              <w:t>RATIO COMBINADO NETO DE REASEGURO</w:t>
            </w:r>
          </w:p>
        </w:tc>
        <w:tc>
          <w:tcPr>
            <w:tcW w:w="1038" w:type="dxa"/>
            <w:tcBorders>
              <w:top w:val="single" w:sz="4" w:space="0" w:color="03365F"/>
              <w:left w:val="nil"/>
              <w:bottom w:val="single" w:sz="8" w:space="0" w:color="03365F"/>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b/>
                <w:bCs/>
                <w:color w:val="03365F"/>
                <w:sz w:val="20"/>
                <w:szCs w:val="20"/>
              </w:rPr>
            </w:pPr>
            <w:r w:rsidRPr="003E130A">
              <w:rPr>
                <w:rFonts w:ascii="Arial" w:eastAsia="Times New Roman" w:hAnsi="Arial" w:cs="Arial"/>
                <w:b/>
                <w:bCs/>
                <w:color w:val="03365F"/>
                <w:sz w:val="20"/>
                <w:szCs w:val="20"/>
              </w:rPr>
              <w:t>76.8%</w:t>
            </w:r>
          </w:p>
        </w:tc>
        <w:tc>
          <w:tcPr>
            <w:tcW w:w="1134" w:type="dxa"/>
            <w:tcBorders>
              <w:top w:val="single" w:sz="4" w:space="0" w:color="03365F"/>
              <w:left w:val="nil"/>
              <w:bottom w:val="single" w:sz="8" w:space="0" w:color="03365F"/>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b/>
                <w:bCs/>
                <w:color w:val="03365F"/>
                <w:sz w:val="20"/>
                <w:szCs w:val="20"/>
              </w:rPr>
            </w:pPr>
            <w:r w:rsidRPr="003E130A">
              <w:rPr>
                <w:rFonts w:ascii="Arial" w:eastAsia="Times New Roman" w:hAnsi="Arial" w:cs="Arial"/>
                <w:b/>
                <w:bCs/>
                <w:color w:val="03365F"/>
                <w:sz w:val="20"/>
                <w:szCs w:val="20"/>
              </w:rPr>
              <w:t>85.3%</w:t>
            </w:r>
          </w:p>
        </w:tc>
        <w:tc>
          <w:tcPr>
            <w:tcW w:w="917" w:type="dxa"/>
            <w:tcBorders>
              <w:top w:val="single" w:sz="4" w:space="0" w:color="03365F"/>
              <w:left w:val="nil"/>
              <w:bottom w:val="single" w:sz="8" w:space="0" w:color="03365F"/>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b/>
                <w:bCs/>
                <w:color w:val="03365F"/>
                <w:sz w:val="20"/>
                <w:szCs w:val="20"/>
              </w:rPr>
            </w:pPr>
            <w:r w:rsidRPr="003E130A">
              <w:rPr>
                <w:rFonts w:ascii="Arial" w:eastAsia="Times New Roman" w:hAnsi="Arial" w:cs="Arial"/>
                <w:b/>
                <w:bCs/>
                <w:color w:val="03365F"/>
                <w:sz w:val="20"/>
                <w:szCs w:val="20"/>
              </w:rPr>
              <w:t>+8.5</w:t>
            </w:r>
          </w:p>
        </w:tc>
        <w:tc>
          <w:tcPr>
            <w:tcW w:w="917" w:type="dxa"/>
            <w:tcBorders>
              <w:top w:val="single" w:sz="4" w:space="0" w:color="03365F"/>
              <w:left w:val="nil"/>
              <w:bottom w:val="single" w:sz="8" w:space="0" w:color="03365F"/>
              <w:right w:val="nil"/>
            </w:tcBorders>
            <w:shd w:val="clear" w:color="000000" w:fill="FFFFFF"/>
            <w:noWrap/>
            <w:vAlign w:val="bottom"/>
            <w:hideMark/>
          </w:tcPr>
          <w:p w:rsidR="00F6303E" w:rsidRPr="003E130A" w:rsidRDefault="00F6303E" w:rsidP="00F6303E">
            <w:pPr>
              <w:widowControl/>
              <w:rPr>
                <w:rFonts w:ascii="Arial" w:eastAsia="Times New Roman" w:hAnsi="Arial" w:cs="Arial"/>
                <w:b/>
                <w:bCs/>
                <w:color w:val="03365F"/>
                <w:sz w:val="20"/>
                <w:szCs w:val="20"/>
              </w:rPr>
            </w:pPr>
            <w:proofErr w:type="spellStart"/>
            <w:proofErr w:type="gramStart"/>
            <w:r w:rsidRPr="003E130A">
              <w:rPr>
                <w:rFonts w:ascii="Arial" w:eastAsia="Times New Roman" w:hAnsi="Arial" w:cs="Arial"/>
                <w:b/>
                <w:bCs/>
                <w:color w:val="03365F"/>
                <w:sz w:val="20"/>
                <w:szCs w:val="20"/>
              </w:rPr>
              <w:t>ppts</w:t>
            </w:r>
            <w:proofErr w:type="spellEnd"/>
            <w:proofErr w:type="gramEnd"/>
            <w:r w:rsidRPr="003E130A">
              <w:rPr>
                <w:rFonts w:ascii="Arial" w:eastAsia="Times New Roman" w:hAnsi="Arial" w:cs="Arial"/>
                <w:b/>
                <w:bCs/>
                <w:color w:val="03365F"/>
                <w:sz w:val="20"/>
                <w:szCs w:val="20"/>
              </w:rPr>
              <w:t>.</w:t>
            </w:r>
          </w:p>
        </w:tc>
      </w:tr>
      <w:tr w:rsidR="00F6303E" w:rsidRPr="003E130A" w:rsidTr="00884861">
        <w:trPr>
          <w:trHeight w:val="75"/>
          <w:jc w:val="center"/>
        </w:trPr>
        <w:tc>
          <w:tcPr>
            <w:tcW w:w="4916" w:type="dxa"/>
            <w:tcBorders>
              <w:top w:val="nil"/>
              <w:left w:val="nil"/>
              <w:bottom w:val="nil"/>
              <w:right w:val="nil"/>
            </w:tcBorders>
            <w:shd w:val="clear" w:color="auto" w:fill="auto"/>
            <w:noWrap/>
            <w:vAlign w:val="bottom"/>
            <w:hideMark/>
          </w:tcPr>
          <w:p w:rsidR="00F6303E" w:rsidRPr="003E130A" w:rsidRDefault="00F6303E" w:rsidP="00F6303E">
            <w:pPr>
              <w:widowControl/>
              <w:rPr>
                <w:rFonts w:ascii="Arial" w:eastAsia="Times New Roman" w:hAnsi="Arial" w:cs="Arial"/>
                <w:b/>
                <w:bCs/>
                <w:color w:val="03365F"/>
                <w:sz w:val="20"/>
                <w:szCs w:val="20"/>
              </w:rPr>
            </w:pPr>
          </w:p>
        </w:tc>
        <w:tc>
          <w:tcPr>
            <w:tcW w:w="1038" w:type="dxa"/>
            <w:tcBorders>
              <w:top w:val="nil"/>
              <w:left w:val="nil"/>
              <w:bottom w:val="nil"/>
              <w:right w:val="nil"/>
            </w:tcBorders>
            <w:shd w:val="clear" w:color="auto" w:fill="auto"/>
            <w:noWrap/>
            <w:vAlign w:val="bottom"/>
            <w:hideMark/>
          </w:tcPr>
          <w:p w:rsidR="00F6303E" w:rsidRPr="003E130A" w:rsidRDefault="00F6303E" w:rsidP="00F6303E">
            <w:pPr>
              <w:widowControl/>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rsidR="00F6303E" w:rsidRPr="003E130A" w:rsidRDefault="00F6303E" w:rsidP="00F6303E">
            <w:pPr>
              <w:widowControl/>
              <w:rPr>
                <w:rFonts w:ascii="Arial" w:eastAsia="Times New Roman" w:hAnsi="Arial" w:cs="Arial"/>
                <w:sz w:val="20"/>
                <w:szCs w:val="20"/>
              </w:rPr>
            </w:pPr>
          </w:p>
        </w:tc>
        <w:tc>
          <w:tcPr>
            <w:tcW w:w="917" w:type="dxa"/>
            <w:tcBorders>
              <w:top w:val="nil"/>
              <w:left w:val="nil"/>
              <w:bottom w:val="nil"/>
              <w:right w:val="nil"/>
            </w:tcBorders>
            <w:shd w:val="clear" w:color="auto" w:fill="auto"/>
            <w:noWrap/>
            <w:vAlign w:val="bottom"/>
            <w:hideMark/>
          </w:tcPr>
          <w:p w:rsidR="00F6303E" w:rsidRPr="003E130A" w:rsidRDefault="00F6303E" w:rsidP="00F6303E">
            <w:pPr>
              <w:widowControl/>
              <w:rPr>
                <w:rFonts w:ascii="Arial" w:eastAsia="Times New Roman" w:hAnsi="Arial" w:cs="Arial"/>
                <w:sz w:val="20"/>
                <w:szCs w:val="20"/>
              </w:rPr>
            </w:pPr>
          </w:p>
        </w:tc>
        <w:tc>
          <w:tcPr>
            <w:tcW w:w="917" w:type="dxa"/>
            <w:tcBorders>
              <w:top w:val="nil"/>
              <w:left w:val="nil"/>
              <w:bottom w:val="nil"/>
              <w:right w:val="nil"/>
            </w:tcBorders>
            <w:shd w:val="clear" w:color="auto" w:fill="auto"/>
            <w:noWrap/>
            <w:vAlign w:val="bottom"/>
            <w:hideMark/>
          </w:tcPr>
          <w:p w:rsidR="00F6303E" w:rsidRPr="003E130A" w:rsidRDefault="00F6303E" w:rsidP="00F6303E">
            <w:pPr>
              <w:widowControl/>
              <w:rPr>
                <w:rFonts w:ascii="Arial" w:eastAsia="Times New Roman" w:hAnsi="Arial" w:cs="Arial"/>
                <w:sz w:val="20"/>
                <w:szCs w:val="20"/>
              </w:rPr>
            </w:pPr>
          </w:p>
        </w:tc>
      </w:tr>
      <w:tr w:rsidR="00F6303E" w:rsidRPr="003E130A" w:rsidTr="00884861">
        <w:trPr>
          <w:trHeight w:val="510"/>
          <w:jc w:val="center"/>
        </w:trPr>
        <w:tc>
          <w:tcPr>
            <w:tcW w:w="4916" w:type="dxa"/>
            <w:tcBorders>
              <w:top w:val="nil"/>
              <w:left w:val="nil"/>
              <w:bottom w:val="nil"/>
              <w:right w:val="nil"/>
            </w:tcBorders>
            <w:shd w:val="clear" w:color="000000" w:fill="03365F"/>
            <w:noWrap/>
            <w:vAlign w:val="center"/>
            <w:hideMark/>
          </w:tcPr>
          <w:p w:rsidR="00F6303E" w:rsidRPr="003E130A" w:rsidRDefault="007A3A8B" w:rsidP="00F6303E">
            <w:pPr>
              <w:widowControl/>
              <w:rPr>
                <w:rFonts w:ascii="Arial" w:eastAsia="Times New Roman" w:hAnsi="Arial" w:cs="Arial"/>
                <w:b/>
                <w:bCs/>
                <w:color w:val="FFFFFF"/>
                <w:sz w:val="20"/>
                <w:szCs w:val="20"/>
                <w:lang w:val="es-ES"/>
              </w:rPr>
            </w:pPr>
            <w:r w:rsidRPr="003E130A">
              <w:rPr>
                <w:rFonts w:ascii="Arial" w:eastAsia="Times New Roman" w:hAnsi="Arial" w:cs="Arial"/>
                <w:b/>
                <w:bCs/>
                <w:color w:val="FFFFFF"/>
                <w:sz w:val="20"/>
                <w:szCs w:val="20"/>
                <w:lang w:val="es-ES"/>
              </w:rPr>
              <w:t>Partidas del balance en €m</w:t>
            </w:r>
          </w:p>
        </w:tc>
        <w:tc>
          <w:tcPr>
            <w:tcW w:w="1038" w:type="dxa"/>
            <w:tcBorders>
              <w:top w:val="nil"/>
              <w:left w:val="nil"/>
              <w:bottom w:val="nil"/>
              <w:right w:val="nil"/>
            </w:tcBorders>
            <w:shd w:val="clear" w:color="000000" w:fill="03365F"/>
            <w:vAlign w:val="center"/>
            <w:hideMark/>
          </w:tcPr>
          <w:p w:rsidR="00F6303E" w:rsidRPr="003E130A" w:rsidRDefault="00F6303E" w:rsidP="00F6303E">
            <w:pPr>
              <w:widowControl/>
              <w:jc w:val="right"/>
              <w:rPr>
                <w:rFonts w:ascii="Arial" w:eastAsia="Times New Roman" w:hAnsi="Arial" w:cs="Arial"/>
                <w:b/>
                <w:bCs/>
                <w:color w:val="FFFFFF"/>
                <w:sz w:val="20"/>
                <w:szCs w:val="20"/>
              </w:rPr>
            </w:pPr>
            <w:r w:rsidRPr="003E130A">
              <w:rPr>
                <w:rFonts w:ascii="Arial" w:eastAsia="Times New Roman" w:hAnsi="Arial" w:cs="Arial"/>
                <w:b/>
                <w:bCs/>
                <w:color w:val="FFFFFF"/>
                <w:sz w:val="20"/>
                <w:szCs w:val="20"/>
              </w:rPr>
              <w:t>2019</w:t>
            </w:r>
          </w:p>
        </w:tc>
        <w:tc>
          <w:tcPr>
            <w:tcW w:w="1134" w:type="dxa"/>
            <w:tcBorders>
              <w:top w:val="nil"/>
              <w:left w:val="nil"/>
              <w:bottom w:val="nil"/>
              <w:right w:val="nil"/>
            </w:tcBorders>
            <w:shd w:val="clear" w:color="000000" w:fill="18B3B9"/>
            <w:noWrap/>
            <w:vAlign w:val="center"/>
            <w:hideMark/>
          </w:tcPr>
          <w:p w:rsidR="00F6303E" w:rsidRPr="003E130A" w:rsidRDefault="00F6303E" w:rsidP="00F6303E">
            <w:pPr>
              <w:widowControl/>
              <w:jc w:val="right"/>
              <w:rPr>
                <w:rFonts w:ascii="Arial" w:eastAsia="Times New Roman" w:hAnsi="Arial" w:cs="Arial"/>
                <w:b/>
                <w:bCs/>
                <w:color w:val="FFFFFF"/>
                <w:sz w:val="20"/>
                <w:szCs w:val="20"/>
              </w:rPr>
            </w:pPr>
            <w:r w:rsidRPr="003E130A">
              <w:rPr>
                <w:rFonts w:ascii="Arial" w:eastAsia="Times New Roman" w:hAnsi="Arial" w:cs="Arial"/>
                <w:b/>
                <w:bCs/>
                <w:color w:val="FFFFFF"/>
                <w:sz w:val="20"/>
                <w:szCs w:val="20"/>
              </w:rPr>
              <w:t>9M-2020</w:t>
            </w:r>
          </w:p>
        </w:tc>
        <w:tc>
          <w:tcPr>
            <w:tcW w:w="917" w:type="dxa"/>
            <w:tcBorders>
              <w:top w:val="nil"/>
              <w:left w:val="nil"/>
              <w:bottom w:val="nil"/>
              <w:right w:val="nil"/>
            </w:tcBorders>
            <w:shd w:val="clear" w:color="000000" w:fill="03365F"/>
            <w:noWrap/>
            <w:vAlign w:val="center"/>
            <w:hideMark/>
          </w:tcPr>
          <w:p w:rsidR="00F6303E" w:rsidRPr="003E130A" w:rsidRDefault="00F6303E" w:rsidP="00F6303E">
            <w:pPr>
              <w:widowControl/>
              <w:jc w:val="center"/>
              <w:rPr>
                <w:rFonts w:ascii="Arial" w:eastAsia="Times New Roman" w:hAnsi="Arial" w:cs="Arial"/>
                <w:b/>
                <w:bCs/>
                <w:color w:val="FFFFFF"/>
                <w:sz w:val="20"/>
                <w:szCs w:val="20"/>
              </w:rPr>
            </w:pPr>
            <w:r w:rsidRPr="003E130A">
              <w:rPr>
                <w:rFonts w:ascii="Arial" w:eastAsia="Times New Roman" w:hAnsi="Arial" w:cs="Arial"/>
                <w:b/>
                <w:bCs/>
                <w:color w:val="FFFFFF"/>
                <w:sz w:val="20"/>
                <w:szCs w:val="20"/>
              </w:rPr>
              <w:t>%</w:t>
            </w:r>
          </w:p>
        </w:tc>
        <w:tc>
          <w:tcPr>
            <w:tcW w:w="917" w:type="dxa"/>
            <w:tcBorders>
              <w:top w:val="nil"/>
              <w:left w:val="nil"/>
              <w:bottom w:val="nil"/>
              <w:right w:val="nil"/>
            </w:tcBorders>
            <w:shd w:val="clear" w:color="000000" w:fill="03365F"/>
            <w:vAlign w:val="center"/>
            <w:hideMark/>
          </w:tcPr>
          <w:p w:rsidR="00F6303E" w:rsidRPr="003E130A" w:rsidRDefault="00F6303E" w:rsidP="00F6303E">
            <w:pPr>
              <w:widowControl/>
              <w:jc w:val="center"/>
              <w:rPr>
                <w:rFonts w:ascii="Arial" w:eastAsia="Times New Roman" w:hAnsi="Arial" w:cs="Arial"/>
                <w:b/>
                <w:bCs/>
                <w:color w:val="FFFFFF"/>
                <w:sz w:val="20"/>
                <w:szCs w:val="20"/>
              </w:rPr>
            </w:pPr>
            <w:r w:rsidRPr="003E130A">
              <w:rPr>
                <w:rFonts w:ascii="Arial" w:eastAsia="Times New Roman" w:hAnsi="Arial" w:cs="Arial"/>
                <w:b/>
                <w:bCs/>
                <w:color w:val="FFFFFF"/>
                <w:sz w:val="20"/>
                <w:szCs w:val="20"/>
              </w:rPr>
              <w:t xml:space="preserve">% </w:t>
            </w:r>
            <w:r w:rsidRPr="003E130A">
              <w:rPr>
                <w:rFonts w:ascii="Arial" w:eastAsia="Times New Roman" w:hAnsi="Arial" w:cs="Arial"/>
                <w:b/>
                <w:bCs/>
                <w:color w:val="FFFFFF"/>
                <w:sz w:val="20"/>
                <w:szCs w:val="20"/>
              </w:rPr>
              <w:br/>
              <w:t>ex. FX*</w:t>
            </w:r>
          </w:p>
        </w:tc>
      </w:tr>
      <w:tr w:rsidR="00F6303E" w:rsidRPr="003E130A" w:rsidTr="00884861">
        <w:trPr>
          <w:trHeight w:val="315"/>
          <w:jc w:val="center"/>
        </w:trPr>
        <w:tc>
          <w:tcPr>
            <w:tcW w:w="4916" w:type="dxa"/>
            <w:tcBorders>
              <w:top w:val="single" w:sz="4" w:space="0" w:color="BFBFBF"/>
              <w:left w:val="nil"/>
              <w:bottom w:val="single" w:sz="12" w:space="0" w:color="03365F"/>
              <w:right w:val="nil"/>
            </w:tcBorders>
            <w:shd w:val="clear" w:color="auto" w:fill="auto"/>
            <w:noWrap/>
            <w:vAlign w:val="bottom"/>
            <w:hideMark/>
          </w:tcPr>
          <w:p w:rsidR="00F6303E" w:rsidRPr="003E130A" w:rsidRDefault="00B71853" w:rsidP="00F6303E">
            <w:pPr>
              <w:widowControl/>
              <w:rPr>
                <w:rFonts w:ascii="Arial" w:eastAsia="Times New Roman" w:hAnsi="Arial" w:cs="Arial"/>
                <w:sz w:val="20"/>
                <w:szCs w:val="20"/>
                <w:lang w:val="es-ES"/>
              </w:rPr>
            </w:pPr>
            <w:r w:rsidRPr="003E130A">
              <w:rPr>
                <w:rFonts w:ascii="Arial" w:eastAsia="Times New Roman" w:hAnsi="Arial" w:cs="Arial"/>
                <w:sz w:val="20"/>
                <w:szCs w:val="20"/>
                <w:lang w:val="es-ES"/>
              </w:rPr>
              <w:t>Patrimonio total (participación del grupo)</w:t>
            </w:r>
          </w:p>
        </w:tc>
        <w:tc>
          <w:tcPr>
            <w:tcW w:w="1038" w:type="dxa"/>
            <w:tcBorders>
              <w:top w:val="single" w:sz="4" w:space="0" w:color="BFBFBF"/>
              <w:left w:val="nil"/>
              <w:bottom w:val="single" w:sz="12" w:space="0" w:color="03365F"/>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1,924.5</w:t>
            </w:r>
          </w:p>
        </w:tc>
        <w:tc>
          <w:tcPr>
            <w:tcW w:w="1134" w:type="dxa"/>
            <w:tcBorders>
              <w:top w:val="single" w:sz="4" w:space="0" w:color="BFBFBF"/>
              <w:left w:val="nil"/>
              <w:bottom w:val="single" w:sz="12" w:space="0" w:color="03365F"/>
              <w:right w:val="nil"/>
            </w:tcBorders>
            <w:shd w:val="clear" w:color="000000" w:fill="D1F0F1"/>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1,945.9</w:t>
            </w:r>
          </w:p>
        </w:tc>
        <w:tc>
          <w:tcPr>
            <w:tcW w:w="917" w:type="dxa"/>
            <w:tcBorders>
              <w:top w:val="single" w:sz="4" w:space="0" w:color="BFBFBF"/>
              <w:left w:val="nil"/>
              <w:bottom w:val="single" w:sz="12" w:space="0" w:color="03365F"/>
              <w:right w:val="nil"/>
            </w:tcBorders>
            <w:shd w:val="clear" w:color="000000" w:fill="FFFFFF"/>
            <w:noWrap/>
            <w:vAlign w:val="bottom"/>
            <w:hideMark/>
          </w:tcPr>
          <w:p w:rsidR="00F6303E" w:rsidRPr="003E130A" w:rsidRDefault="00F6303E" w:rsidP="00F6303E">
            <w:pPr>
              <w:widowControl/>
              <w:jc w:val="right"/>
              <w:rPr>
                <w:rFonts w:ascii="Arial" w:eastAsia="Times New Roman" w:hAnsi="Arial" w:cs="Arial"/>
                <w:sz w:val="20"/>
                <w:szCs w:val="20"/>
              </w:rPr>
            </w:pPr>
            <w:r w:rsidRPr="003E130A">
              <w:rPr>
                <w:rFonts w:ascii="Arial" w:eastAsia="Times New Roman" w:hAnsi="Arial" w:cs="Arial"/>
                <w:sz w:val="20"/>
                <w:szCs w:val="20"/>
              </w:rPr>
              <w:t>+1.1%</w:t>
            </w:r>
          </w:p>
        </w:tc>
        <w:tc>
          <w:tcPr>
            <w:tcW w:w="917" w:type="dxa"/>
            <w:tcBorders>
              <w:top w:val="single" w:sz="4" w:space="0" w:color="BFBFBF"/>
              <w:left w:val="nil"/>
              <w:bottom w:val="single" w:sz="12" w:space="0" w:color="03365F"/>
              <w:right w:val="nil"/>
            </w:tcBorders>
            <w:shd w:val="clear" w:color="000000" w:fill="FFFFFF"/>
            <w:noWrap/>
            <w:vAlign w:val="bottom"/>
            <w:hideMark/>
          </w:tcPr>
          <w:p w:rsidR="00F6303E" w:rsidRPr="003E130A" w:rsidRDefault="00F6303E" w:rsidP="00F6303E">
            <w:pPr>
              <w:widowControl/>
              <w:rPr>
                <w:rFonts w:ascii="Arial" w:eastAsia="Times New Roman" w:hAnsi="Arial" w:cs="Arial"/>
                <w:sz w:val="20"/>
                <w:szCs w:val="20"/>
              </w:rPr>
            </w:pPr>
            <w:r w:rsidRPr="003E130A">
              <w:rPr>
                <w:rFonts w:ascii="Arial" w:eastAsia="Times New Roman" w:hAnsi="Arial" w:cs="Arial"/>
                <w:sz w:val="20"/>
                <w:szCs w:val="20"/>
              </w:rPr>
              <w:t> </w:t>
            </w:r>
          </w:p>
        </w:tc>
      </w:tr>
    </w:tbl>
    <w:p w:rsidR="002D29A1" w:rsidRPr="003E130A" w:rsidRDefault="002D29A1" w:rsidP="001A7D95">
      <w:pPr>
        <w:widowControl/>
        <w:rPr>
          <w:rFonts w:ascii="Arial" w:eastAsia="Times New Roman" w:hAnsi="Arial" w:cs="Arial"/>
          <w:b/>
          <w:bCs/>
          <w:sz w:val="20"/>
          <w:szCs w:val="20"/>
        </w:rPr>
      </w:pPr>
    </w:p>
    <w:p w:rsidR="002D29A1" w:rsidRPr="003E130A" w:rsidRDefault="002D29A1" w:rsidP="001A7D95">
      <w:pPr>
        <w:widowControl/>
        <w:rPr>
          <w:rFonts w:ascii="Arial" w:eastAsia="Times New Roman" w:hAnsi="Arial" w:cs="Arial"/>
          <w:b/>
          <w:bCs/>
          <w:sz w:val="20"/>
          <w:szCs w:val="20"/>
        </w:rPr>
      </w:pPr>
    </w:p>
    <w:p w:rsidR="003D0FE0" w:rsidRPr="003E130A" w:rsidRDefault="00B71853" w:rsidP="00884861">
      <w:pPr>
        <w:pStyle w:val="Prrafodelista"/>
        <w:spacing w:after="0" w:line="240" w:lineRule="auto"/>
        <w:ind w:left="0"/>
        <w:rPr>
          <w:rFonts w:ascii="Arial" w:hAnsi="Arial" w:cs="Arial"/>
          <w:b/>
          <w:bCs/>
          <w:sz w:val="20"/>
          <w:szCs w:val="20"/>
          <w:lang w:val="es-ES"/>
        </w:rPr>
      </w:pPr>
      <w:r w:rsidRPr="003E130A">
        <w:rPr>
          <w:rFonts w:ascii="Arial" w:hAnsi="Arial" w:cs="Arial"/>
          <w:sz w:val="16"/>
          <w:lang w:val="es-ES"/>
        </w:rPr>
        <w:t xml:space="preserve">* También excluye el impacto del </w:t>
      </w:r>
      <w:r w:rsidR="00884861">
        <w:rPr>
          <w:rFonts w:ascii="Arial" w:hAnsi="Arial" w:cs="Arial"/>
          <w:sz w:val="16"/>
          <w:lang w:val="es-ES"/>
        </w:rPr>
        <w:t>perímetro</w:t>
      </w:r>
      <w:r w:rsidR="003D0FE0" w:rsidRPr="003E130A">
        <w:rPr>
          <w:rFonts w:ascii="Arial" w:hAnsi="Arial" w:cs="Arial"/>
          <w:b/>
          <w:bCs/>
          <w:sz w:val="20"/>
          <w:szCs w:val="20"/>
          <w:lang w:val="es-ES"/>
        </w:rPr>
        <w:br w:type="page"/>
      </w:r>
    </w:p>
    <w:p w:rsidR="00751607" w:rsidRPr="003E130A" w:rsidRDefault="00B71853" w:rsidP="00751607">
      <w:pPr>
        <w:widowControl/>
        <w:numPr>
          <w:ilvl w:val="0"/>
          <w:numId w:val="16"/>
        </w:numPr>
        <w:autoSpaceDE w:val="0"/>
        <w:autoSpaceDN w:val="0"/>
        <w:adjustRightInd w:val="0"/>
        <w:spacing w:line="276" w:lineRule="auto"/>
        <w:jc w:val="both"/>
        <w:rPr>
          <w:rFonts w:ascii="Arial" w:eastAsia="Calibri" w:hAnsi="Arial" w:cs="Arial"/>
          <w:b/>
          <w:sz w:val="20"/>
          <w:szCs w:val="20"/>
          <w:lang w:val="fr-FR" w:eastAsia="en-US"/>
        </w:rPr>
      </w:pPr>
      <w:proofErr w:type="spellStart"/>
      <w:r w:rsidRPr="003E130A">
        <w:rPr>
          <w:rFonts w:ascii="Arial" w:eastAsia="Calibri" w:hAnsi="Arial" w:cs="Arial"/>
          <w:b/>
          <w:bCs/>
          <w:sz w:val="20"/>
          <w:szCs w:val="20"/>
          <w:lang w:val="fr-FR" w:eastAsia="en-US"/>
        </w:rPr>
        <w:lastRenderedPageBreak/>
        <w:t>Volumen</w:t>
      </w:r>
      <w:proofErr w:type="spellEnd"/>
      <w:r w:rsidRPr="003E130A">
        <w:rPr>
          <w:rFonts w:ascii="Arial" w:eastAsia="Calibri" w:hAnsi="Arial" w:cs="Arial"/>
          <w:b/>
          <w:bCs/>
          <w:sz w:val="20"/>
          <w:szCs w:val="20"/>
          <w:lang w:val="fr-FR" w:eastAsia="en-US"/>
        </w:rPr>
        <w:t xml:space="preserve"> de </w:t>
      </w:r>
      <w:proofErr w:type="spellStart"/>
      <w:r w:rsidRPr="003E130A">
        <w:rPr>
          <w:rFonts w:ascii="Arial" w:eastAsia="Calibri" w:hAnsi="Arial" w:cs="Arial"/>
          <w:b/>
          <w:bCs/>
          <w:sz w:val="20"/>
          <w:szCs w:val="20"/>
          <w:lang w:val="fr-FR" w:eastAsia="en-US"/>
        </w:rPr>
        <w:t>negocio</w:t>
      </w:r>
      <w:r w:rsidR="00884861">
        <w:rPr>
          <w:rFonts w:ascii="Arial" w:eastAsia="Calibri" w:hAnsi="Arial" w:cs="Arial"/>
          <w:b/>
          <w:bCs/>
          <w:sz w:val="20"/>
          <w:szCs w:val="20"/>
          <w:lang w:val="fr-FR" w:eastAsia="en-US"/>
        </w:rPr>
        <w:t>s</w:t>
      </w:r>
      <w:proofErr w:type="spellEnd"/>
    </w:p>
    <w:p w:rsidR="006A6063" w:rsidRPr="003E130A" w:rsidRDefault="006A6063" w:rsidP="006A6063">
      <w:pPr>
        <w:widowControl/>
        <w:autoSpaceDE w:val="0"/>
        <w:autoSpaceDN w:val="0"/>
        <w:adjustRightInd w:val="0"/>
        <w:jc w:val="both"/>
        <w:rPr>
          <w:rFonts w:ascii="Arial" w:eastAsia="Calibri" w:hAnsi="Arial" w:cs="Arial"/>
          <w:i/>
          <w:sz w:val="20"/>
          <w:szCs w:val="20"/>
          <w:lang w:val="fr-FR" w:eastAsia="en-US"/>
        </w:rPr>
      </w:pPr>
    </w:p>
    <w:p w:rsidR="00B71853" w:rsidRPr="003E130A" w:rsidRDefault="00B71853" w:rsidP="00B71853">
      <w:pPr>
        <w:suppressAutoHyphens/>
        <w:spacing w:after="120" w:line="276" w:lineRule="auto"/>
        <w:jc w:val="both"/>
        <w:rPr>
          <w:rFonts w:ascii="Arial" w:hAnsi="Arial" w:cs="Arial"/>
          <w:sz w:val="20"/>
          <w:szCs w:val="20"/>
          <w:lang w:val="es-ES" w:eastAsia="fr-FR"/>
        </w:rPr>
      </w:pPr>
      <w:r w:rsidRPr="003E130A">
        <w:rPr>
          <w:rFonts w:ascii="Arial" w:hAnsi="Arial" w:cs="Arial"/>
          <w:sz w:val="20"/>
          <w:szCs w:val="20"/>
          <w:lang w:val="es-ES" w:eastAsia="fr-FR"/>
        </w:rPr>
        <w:t>Coface ha registrado ventas consolidadas de 1.082,4 millones de euros durante los nueve primeros meses del año, lo que supone un descenso del -0,9% a tipo de cambio y perímetro constantes con respecto a septiembre de 2019. En términos reportados (a tipos de cambio y perímetro actuales), el volumen de negocios ha disminuido un -1,9%.</w:t>
      </w:r>
    </w:p>
    <w:p w:rsidR="00B71853" w:rsidRPr="003E130A" w:rsidRDefault="00B71853" w:rsidP="00B71853">
      <w:pPr>
        <w:suppressAutoHyphens/>
        <w:spacing w:after="120" w:line="276" w:lineRule="auto"/>
        <w:jc w:val="both"/>
        <w:rPr>
          <w:rFonts w:ascii="Arial" w:hAnsi="Arial" w:cs="Arial"/>
          <w:sz w:val="20"/>
          <w:szCs w:val="20"/>
          <w:lang w:val="es-ES" w:eastAsia="fr-FR"/>
        </w:rPr>
      </w:pPr>
      <w:r w:rsidRPr="003E130A">
        <w:rPr>
          <w:rFonts w:ascii="Arial" w:hAnsi="Arial" w:cs="Arial"/>
          <w:sz w:val="20"/>
          <w:szCs w:val="20"/>
          <w:lang w:val="es-ES" w:eastAsia="fr-FR"/>
        </w:rPr>
        <w:t xml:space="preserve">Los ingresos de las actividades de seguros (incluidos </w:t>
      </w:r>
      <w:r w:rsidR="007D5BFB">
        <w:rPr>
          <w:rFonts w:ascii="Arial" w:hAnsi="Arial" w:cs="Arial"/>
          <w:sz w:val="20"/>
          <w:szCs w:val="20"/>
          <w:lang w:val="es-ES" w:eastAsia="fr-FR"/>
        </w:rPr>
        <w:t>Cauciones</w:t>
      </w:r>
      <w:r w:rsidRPr="003E130A">
        <w:rPr>
          <w:rFonts w:ascii="Arial" w:hAnsi="Arial" w:cs="Arial"/>
          <w:sz w:val="20"/>
          <w:szCs w:val="20"/>
          <w:lang w:val="es-ES" w:eastAsia="fr-FR"/>
        </w:rPr>
        <w:t xml:space="preserve"> y Single </w:t>
      </w:r>
      <w:proofErr w:type="spellStart"/>
      <w:r w:rsidRPr="003E130A">
        <w:rPr>
          <w:rFonts w:ascii="Arial" w:hAnsi="Arial" w:cs="Arial"/>
          <w:sz w:val="20"/>
          <w:szCs w:val="20"/>
          <w:lang w:val="es-ES" w:eastAsia="fr-FR"/>
        </w:rPr>
        <w:t>Risk</w:t>
      </w:r>
      <w:proofErr w:type="spellEnd"/>
      <w:r w:rsidRPr="003E130A">
        <w:rPr>
          <w:rFonts w:ascii="Arial" w:hAnsi="Arial" w:cs="Arial"/>
          <w:sz w:val="20"/>
          <w:szCs w:val="20"/>
          <w:lang w:val="es-ES" w:eastAsia="fr-FR"/>
        </w:rPr>
        <w:t>) disminuyeron un -1,1% a tipos de cambio y perímetro constantes en comparación con los nueve meses de 2019 (un -2,3% a tipos de cambio y perímetro actuales).</w:t>
      </w:r>
    </w:p>
    <w:p w:rsidR="00693D07" w:rsidRPr="003E130A" w:rsidRDefault="00B71853" w:rsidP="00B71853">
      <w:pPr>
        <w:suppressAutoHyphens/>
        <w:spacing w:after="120" w:line="276" w:lineRule="auto"/>
        <w:jc w:val="both"/>
        <w:rPr>
          <w:rFonts w:ascii="Arial" w:hAnsi="Arial" w:cs="Arial"/>
          <w:sz w:val="20"/>
          <w:szCs w:val="20"/>
          <w:lang w:val="es-ES" w:eastAsia="fr-FR"/>
        </w:rPr>
      </w:pPr>
      <w:r w:rsidRPr="003E130A">
        <w:rPr>
          <w:rFonts w:ascii="Arial" w:hAnsi="Arial" w:cs="Arial"/>
          <w:sz w:val="20"/>
          <w:szCs w:val="20"/>
          <w:lang w:val="es-ES" w:eastAsia="fr-FR"/>
        </w:rPr>
        <w:t xml:space="preserve">Los índices de retención de clientes son elevados en la mayoría de las regiones y alcanzaron un nuevo nivel récord del 92,7% para el Grupo. </w:t>
      </w:r>
      <w:r w:rsidR="007D5BFB">
        <w:rPr>
          <w:rFonts w:ascii="Arial" w:hAnsi="Arial" w:cs="Arial"/>
          <w:sz w:val="20"/>
          <w:szCs w:val="20"/>
          <w:lang w:val="es-ES" w:eastAsia="fr-FR"/>
        </w:rPr>
        <w:t>Los nuevos</w:t>
      </w:r>
      <w:r w:rsidRPr="003E130A">
        <w:rPr>
          <w:rFonts w:ascii="Arial" w:hAnsi="Arial" w:cs="Arial"/>
          <w:sz w:val="20"/>
          <w:szCs w:val="20"/>
          <w:lang w:val="es-ES" w:eastAsia="fr-FR"/>
        </w:rPr>
        <w:t xml:space="preserve"> negocio</w:t>
      </w:r>
      <w:r w:rsidR="007D5BFB">
        <w:rPr>
          <w:rFonts w:ascii="Arial" w:hAnsi="Arial" w:cs="Arial"/>
          <w:sz w:val="20"/>
          <w:szCs w:val="20"/>
          <w:lang w:val="es-ES" w:eastAsia="fr-FR"/>
        </w:rPr>
        <w:t>s</w:t>
      </w:r>
      <w:r w:rsidRPr="003E130A">
        <w:rPr>
          <w:rFonts w:ascii="Arial" w:hAnsi="Arial" w:cs="Arial"/>
          <w:sz w:val="20"/>
          <w:szCs w:val="20"/>
          <w:lang w:val="es-ES" w:eastAsia="fr-FR"/>
        </w:rPr>
        <w:t xml:space="preserve"> se situ</w:t>
      </w:r>
      <w:r w:rsidR="007D5BFB">
        <w:rPr>
          <w:rFonts w:ascii="Arial" w:hAnsi="Arial" w:cs="Arial"/>
          <w:sz w:val="20"/>
          <w:szCs w:val="20"/>
          <w:lang w:val="es-ES" w:eastAsia="fr-FR"/>
        </w:rPr>
        <w:t>aron</w:t>
      </w:r>
      <w:r w:rsidRPr="003E130A">
        <w:rPr>
          <w:rFonts w:ascii="Arial" w:hAnsi="Arial" w:cs="Arial"/>
          <w:sz w:val="20"/>
          <w:szCs w:val="20"/>
          <w:lang w:val="es-ES" w:eastAsia="fr-FR"/>
        </w:rPr>
        <w:t xml:space="preserve"> en 114 millones de euros, lo que supone un aumento de 18 millones de euros en comparación con los 9M-2019</w:t>
      </w:r>
      <w:r w:rsidR="00693D07" w:rsidRPr="003E130A">
        <w:rPr>
          <w:rFonts w:ascii="Arial" w:hAnsi="Arial" w:cs="Arial"/>
          <w:sz w:val="20"/>
          <w:szCs w:val="20"/>
          <w:lang w:val="es-ES" w:eastAsia="fr-FR"/>
        </w:rPr>
        <w:t>.</w:t>
      </w:r>
    </w:p>
    <w:p w:rsidR="00B71853" w:rsidRDefault="00B71853" w:rsidP="00B71853">
      <w:pPr>
        <w:suppressAutoHyphens/>
        <w:autoSpaceDE w:val="0"/>
        <w:autoSpaceDN w:val="0"/>
        <w:adjustRightInd w:val="0"/>
        <w:spacing w:line="276" w:lineRule="auto"/>
        <w:jc w:val="both"/>
        <w:textAlignment w:val="center"/>
        <w:rPr>
          <w:rFonts w:ascii="Arial" w:hAnsi="Arial" w:cs="Arial"/>
          <w:sz w:val="20"/>
          <w:szCs w:val="20"/>
          <w:lang w:val="es-ES" w:eastAsia="fr-FR"/>
        </w:rPr>
      </w:pPr>
      <w:r w:rsidRPr="003E130A">
        <w:rPr>
          <w:rFonts w:ascii="Arial" w:hAnsi="Arial" w:cs="Arial"/>
          <w:sz w:val="20"/>
          <w:szCs w:val="20"/>
          <w:lang w:val="es-ES" w:eastAsia="fr-FR"/>
        </w:rPr>
        <w:t xml:space="preserve">El crecimiento de las actividades de los clientes tuvo un impacto negativo del -0,7% en los primeros nueve meses del año. Esta contribución se volvió negativa, en línea con las expectativas de una desaceleración económica debido a la epidemia de coronavirus. El aumento de los precios del 1%, confirma la </w:t>
      </w:r>
      <w:r w:rsidR="007D5BFB">
        <w:rPr>
          <w:rFonts w:ascii="Arial" w:hAnsi="Arial" w:cs="Arial"/>
          <w:sz w:val="20"/>
          <w:szCs w:val="20"/>
          <w:lang w:val="es-ES" w:eastAsia="fr-FR"/>
        </w:rPr>
        <w:t>reversión</w:t>
      </w:r>
      <w:r w:rsidRPr="003E130A">
        <w:rPr>
          <w:rFonts w:ascii="Arial" w:hAnsi="Arial" w:cs="Arial"/>
          <w:sz w:val="20"/>
          <w:szCs w:val="20"/>
          <w:lang w:val="es-ES" w:eastAsia="fr-FR"/>
        </w:rPr>
        <w:t xml:space="preserve"> al alza del ciclo que comenzó en el segundo trimestre.</w:t>
      </w:r>
    </w:p>
    <w:p w:rsidR="007D5BFB" w:rsidRPr="003E130A" w:rsidRDefault="007D5BFB" w:rsidP="00B71853">
      <w:pPr>
        <w:suppressAutoHyphens/>
        <w:autoSpaceDE w:val="0"/>
        <w:autoSpaceDN w:val="0"/>
        <w:adjustRightInd w:val="0"/>
        <w:spacing w:line="276" w:lineRule="auto"/>
        <w:jc w:val="both"/>
        <w:textAlignment w:val="center"/>
        <w:rPr>
          <w:rFonts w:ascii="Arial" w:hAnsi="Arial" w:cs="Arial"/>
          <w:sz w:val="20"/>
          <w:szCs w:val="20"/>
          <w:lang w:val="es-ES" w:eastAsia="fr-FR"/>
        </w:rPr>
      </w:pPr>
    </w:p>
    <w:p w:rsidR="00693D07" w:rsidRPr="003E130A" w:rsidRDefault="00B71853" w:rsidP="00B71853">
      <w:pPr>
        <w:suppressAutoHyphens/>
        <w:autoSpaceDE w:val="0"/>
        <w:autoSpaceDN w:val="0"/>
        <w:adjustRightInd w:val="0"/>
        <w:spacing w:line="276" w:lineRule="auto"/>
        <w:jc w:val="both"/>
        <w:textAlignment w:val="center"/>
        <w:rPr>
          <w:rFonts w:ascii="Arial" w:hAnsi="Arial" w:cs="Arial"/>
          <w:sz w:val="20"/>
          <w:szCs w:val="20"/>
          <w:lang w:val="es-ES" w:eastAsia="fr-FR"/>
        </w:rPr>
      </w:pPr>
      <w:r w:rsidRPr="003E130A">
        <w:rPr>
          <w:rFonts w:ascii="Arial" w:hAnsi="Arial" w:cs="Arial"/>
          <w:sz w:val="20"/>
          <w:szCs w:val="20"/>
          <w:lang w:val="es-ES" w:eastAsia="fr-FR"/>
        </w:rPr>
        <w:t>El volumen de negocios de otras actividades (</w:t>
      </w:r>
      <w:proofErr w:type="spellStart"/>
      <w:r w:rsidRPr="003E130A">
        <w:rPr>
          <w:rFonts w:ascii="Arial" w:hAnsi="Arial" w:cs="Arial"/>
          <w:sz w:val="20"/>
          <w:szCs w:val="20"/>
          <w:lang w:val="es-ES" w:eastAsia="fr-FR"/>
        </w:rPr>
        <w:t>factor</w:t>
      </w:r>
      <w:r w:rsidR="007D5BFB">
        <w:rPr>
          <w:rFonts w:ascii="Arial" w:hAnsi="Arial" w:cs="Arial"/>
          <w:sz w:val="20"/>
          <w:szCs w:val="20"/>
          <w:lang w:val="es-ES" w:eastAsia="fr-FR"/>
        </w:rPr>
        <w:t>ing</w:t>
      </w:r>
      <w:proofErr w:type="spellEnd"/>
      <w:r w:rsidRPr="003E130A">
        <w:rPr>
          <w:rFonts w:ascii="Arial" w:hAnsi="Arial" w:cs="Arial"/>
          <w:sz w:val="20"/>
          <w:szCs w:val="20"/>
          <w:lang w:val="es-ES" w:eastAsia="fr-FR"/>
        </w:rPr>
        <w:t xml:space="preserve"> y servicios) se mantuvo estable en comparación con el período 9M-2019. El crecimiento de los servicios, y en particular de los servicios de información (+10%), compensó la dismin</w:t>
      </w:r>
      <w:r w:rsidR="007D5BFB">
        <w:rPr>
          <w:rFonts w:ascii="Arial" w:hAnsi="Arial" w:cs="Arial"/>
          <w:sz w:val="20"/>
          <w:szCs w:val="20"/>
          <w:lang w:val="es-ES" w:eastAsia="fr-FR"/>
        </w:rPr>
        <w:t xml:space="preserve">ución de los ingresos de </w:t>
      </w:r>
      <w:proofErr w:type="spellStart"/>
      <w:r w:rsidR="007D5BFB">
        <w:rPr>
          <w:rFonts w:ascii="Arial" w:hAnsi="Arial" w:cs="Arial"/>
          <w:sz w:val="20"/>
          <w:szCs w:val="20"/>
          <w:lang w:val="es-ES" w:eastAsia="fr-FR"/>
        </w:rPr>
        <w:t>factoring</w:t>
      </w:r>
      <w:proofErr w:type="spellEnd"/>
      <w:r w:rsidRPr="003E130A">
        <w:rPr>
          <w:rFonts w:ascii="Arial" w:hAnsi="Arial" w:cs="Arial"/>
          <w:sz w:val="20"/>
          <w:szCs w:val="20"/>
          <w:lang w:val="es-ES" w:eastAsia="fr-FR"/>
        </w:rPr>
        <w:t xml:space="preserve"> en Alemania</w:t>
      </w:r>
      <w:r w:rsidR="00693D07" w:rsidRPr="003E130A">
        <w:rPr>
          <w:rFonts w:ascii="Arial" w:hAnsi="Arial" w:cs="Arial"/>
          <w:sz w:val="20"/>
          <w:szCs w:val="20"/>
          <w:lang w:val="es-ES" w:eastAsia="fr-FR"/>
        </w:rPr>
        <w:t>.</w:t>
      </w:r>
    </w:p>
    <w:p w:rsidR="00383ACF" w:rsidRPr="003E130A" w:rsidRDefault="00383ACF" w:rsidP="00383ACF">
      <w:pPr>
        <w:tabs>
          <w:tab w:val="left" w:pos="4090"/>
        </w:tabs>
        <w:suppressAutoHyphens/>
        <w:spacing w:line="270" w:lineRule="exact"/>
        <w:ind w:right="-121"/>
        <w:jc w:val="both"/>
        <w:rPr>
          <w:rFonts w:ascii="Arial" w:hAnsi="Arial" w:cs="Arial"/>
          <w:bCs/>
          <w:sz w:val="20"/>
          <w:szCs w:val="20"/>
          <w:lang w:val="es-ES"/>
        </w:rPr>
      </w:pPr>
    </w:p>
    <w:tbl>
      <w:tblPr>
        <w:tblW w:w="5955" w:type="dxa"/>
        <w:jc w:val="center"/>
        <w:tblLook w:val="04A0" w:firstRow="1" w:lastRow="0" w:firstColumn="1" w:lastColumn="0" w:noHBand="0" w:noVBand="1"/>
      </w:tblPr>
      <w:tblGrid>
        <w:gridCol w:w="2645"/>
        <w:gridCol w:w="881"/>
        <w:gridCol w:w="881"/>
        <w:gridCol w:w="847"/>
        <w:gridCol w:w="747"/>
      </w:tblGrid>
      <w:tr w:rsidR="009E7DA9" w:rsidRPr="003E130A" w:rsidTr="009E7DA9">
        <w:trPr>
          <w:trHeight w:val="510"/>
          <w:jc w:val="center"/>
        </w:trPr>
        <w:tc>
          <w:tcPr>
            <w:tcW w:w="2645" w:type="dxa"/>
            <w:tcBorders>
              <w:top w:val="nil"/>
              <w:left w:val="nil"/>
              <w:bottom w:val="single" w:sz="4" w:space="0" w:color="FFFFFF"/>
              <w:right w:val="nil"/>
            </w:tcBorders>
            <w:shd w:val="clear" w:color="000000" w:fill="03365F"/>
            <w:noWrap/>
            <w:vAlign w:val="center"/>
            <w:hideMark/>
          </w:tcPr>
          <w:p w:rsidR="009E7DA9" w:rsidRPr="003E130A" w:rsidRDefault="00B71853" w:rsidP="009E7DA9">
            <w:pPr>
              <w:widowControl/>
              <w:rPr>
                <w:rFonts w:ascii="Arial" w:eastAsia="Times New Roman" w:hAnsi="Arial" w:cs="Arial"/>
                <w:b/>
                <w:bCs/>
                <w:color w:val="FFFFFF"/>
                <w:sz w:val="18"/>
                <w:szCs w:val="18"/>
              </w:rPr>
            </w:pPr>
            <w:proofErr w:type="spellStart"/>
            <w:r w:rsidRPr="003E130A">
              <w:rPr>
                <w:rFonts w:ascii="Arial" w:eastAsia="Times New Roman" w:hAnsi="Arial" w:cs="Arial"/>
                <w:b/>
                <w:bCs/>
                <w:color w:val="FFFFFF"/>
                <w:sz w:val="18"/>
                <w:szCs w:val="18"/>
              </w:rPr>
              <w:t>Ingreso</w:t>
            </w:r>
            <w:proofErr w:type="spellEnd"/>
            <w:r w:rsidRPr="003E130A">
              <w:rPr>
                <w:rFonts w:ascii="Arial" w:eastAsia="Times New Roman" w:hAnsi="Arial" w:cs="Arial"/>
                <w:b/>
                <w:bCs/>
                <w:color w:val="FFFFFF"/>
                <w:sz w:val="18"/>
                <w:szCs w:val="18"/>
              </w:rPr>
              <w:t xml:space="preserve"> total - </w:t>
            </w:r>
            <w:proofErr w:type="spellStart"/>
            <w:r w:rsidRPr="003E130A">
              <w:rPr>
                <w:rFonts w:ascii="Arial" w:eastAsia="Times New Roman" w:hAnsi="Arial" w:cs="Arial"/>
                <w:b/>
                <w:bCs/>
                <w:color w:val="FFFFFF"/>
                <w:sz w:val="18"/>
                <w:szCs w:val="18"/>
              </w:rPr>
              <w:t>en</w:t>
            </w:r>
            <w:proofErr w:type="spellEnd"/>
            <w:r w:rsidRPr="003E130A">
              <w:rPr>
                <w:rFonts w:ascii="Arial" w:eastAsia="Times New Roman" w:hAnsi="Arial" w:cs="Arial"/>
                <w:b/>
                <w:bCs/>
                <w:color w:val="FFFFFF"/>
                <w:sz w:val="18"/>
                <w:szCs w:val="18"/>
              </w:rPr>
              <w:t xml:space="preserve"> €m</w:t>
            </w:r>
          </w:p>
        </w:tc>
        <w:tc>
          <w:tcPr>
            <w:tcW w:w="881" w:type="dxa"/>
            <w:tcBorders>
              <w:top w:val="nil"/>
              <w:left w:val="nil"/>
              <w:bottom w:val="nil"/>
              <w:right w:val="nil"/>
            </w:tcBorders>
            <w:shd w:val="clear" w:color="000000" w:fill="03365F"/>
            <w:vAlign w:val="center"/>
            <w:hideMark/>
          </w:tcPr>
          <w:p w:rsidR="009E7DA9" w:rsidRPr="003E130A" w:rsidRDefault="009E7DA9" w:rsidP="009E7DA9">
            <w:pPr>
              <w:widowControl/>
              <w:jc w:val="right"/>
              <w:rPr>
                <w:rFonts w:ascii="Arial" w:eastAsia="Times New Roman" w:hAnsi="Arial" w:cs="Arial"/>
                <w:b/>
                <w:bCs/>
                <w:color w:val="FFFFFF"/>
                <w:sz w:val="18"/>
                <w:szCs w:val="18"/>
              </w:rPr>
            </w:pPr>
            <w:r w:rsidRPr="003E130A">
              <w:rPr>
                <w:rFonts w:ascii="Arial" w:eastAsia="Times New Roman" w:hAnsi="Arial" w:cs="Arial"/>
                <w:b/>
                <w:bCs/>
                <w:color w:val="FFFFFF"/>
                <w:sz w:val="18"/>
                <w:szCs w:val="18"/>
              </w:rPr>
              <w:t>9M-2019</w:t>
            </w:r>
          </w:p>
        </w:tc>
        <w:tc>
          <w:tcPr>
            <w:tcW w:w="881" w:type="dxa"/>
            <w:tcBorders>
              <w:top w:val="nil"/>
              <w:left w:val="nil"/>
              <w:bottom w:val="nil"/>
              <w:right w:val="nil"/>
            </w:tcBorders>
            <w:shd w:val="clear" w:color="000000" w:fill="18B3B9"/>
            <w:noWrap/>
            <w:vAlign w:val="center"/>
            <w:hideMark/>
          </w:tcPr>
          <w:p w:rsidR="009E7DA9" w:rsidRPr="003E130A" w:rsidRDefault="009E7DA9" w:rsidP="009E7DA9">
            <w:pPr>
              <w:widowControl/>
              <w:jc w:val="right"/>
              <w:rPr>
                <w:rFonts w:ascii="Arial" w:eastAsia="Times New Roman" w:hAnsi="Arial" w:cs="Arial"/>
                <w:b/>
                <w:bCs/>
                <w:color w:val="FFFFFF"/>
                <w:sz w:val="18"/>
                <w:szCs w:val="18"/>
              </w:rPr>
            </w:pPr>
            <w:r w:rsidRPr="003E130A">
              <w:rPr>
                <w:rFonts w:ascii="Arial" w:eastAsia="Times New Roman" w:hAnsi="Arial" w:cs="Arial"/>
                <w:b/>
                <w:bCs/>
                <w:color w:val="FFFFFF"/>
                <w:sz w:val="18"/>
                <w:szCs w:val="18"/>
              </w:rPr>
              <w:t>9M-2020</w:t>
            </w:r>
          </w:p>
        </w:tc>
        <w:tc>
          <w:tcPr>
            <w:tcW w:w="815" w:type="dxa"/>
            <w:tcBorders>
              <w:top w:val="nil"/>
              <w:left w:val="nil"/>
              <w:bottom w:val="nil"/>
              <w:right w:val="nil"/>
            </w:tcBorders>
            <w:shd w:val="clear" w:color="000000" w:fill="03365F"/>
            <w:noWrap/>
            <w:vAlign w:val="center"/>
            <w:hideMark/>
          </w:tcPr>
          <w:p w:rsidR="009E7DA9" w:rsidRPr="003E130A" w:rsidRDefault="009E7DA9" w:rsidP="009E7DA9">
            <w:pPr>
              <w:widowControl/>
              <w:jc w:val="center"/>
              <w:rPr>
                <w:rFonts w:ascii="Arial" w:eastAsia="Times New Roman" w:hAnsi="Arial" w:cs="Arial"/>
                <w:b/>
                <w:bCs/>
                <w:color w:val="FFFFFF"/>
                <w:sz w:val="18"/>
                <w:szCs w:val="18"/>
              </w:rPr>
            </w:pPr>
            <w:r w:rsidRPr="003E130A">
              <w:rPr>
                <w:rFonts w:ascii="Arial" w:eastAsia="Times New Roman" w:hAnsi="Arial" w:cs="Arial"/>
                <w:b/>
                <w:bCs/>
                <w:color w:val="FFFFFF"/>
                <w:sz w:val="18"/>
                <w:szCs w:val="18"/>
              </w:rPr>
              <w:t>%</w:t>
            </w:r>
          </w:p>
        </w:tc>
        <w:tc>
          <w:tcPr>
            <w:tcW w:w="733" w:type="dxa"/>
            <w:tcBorders>
              <w:top w:val="nil"/>
              <w:left w:val="nil"/>
              <w:bottom w:val="nil"/>
              <w:right w:val="nil"/>
            </w:tcBorders>
            <w:shd w:val="clear" w:color="000000" w:fill="03365F"/>
            <w:vAlign w:val="center"/>
            <w:hideMark/>
          </w:tcPr>
          <w:p w:rsidR="009E7DA9" w:rsidRPr="003E130A" w:rsidRDefault="009E7DA9" w:rsidP="009E7DA9">
            <w:pPr>
              <w:widowControl/>
              <w:jc w:val="center"/>
              <w:rPr>
                <w:rFonts w:ascii="Arial" w:eastAsia="Times New Roman" w:hAnsi="Arial" w:cs="Arial"/>
                <w:b/>
                <w:bCs/>
                <w:color w:val="FFFFFF"/>
                <w:sz w:val="18"/>
                <w:szCs w:val="18"/>
              </w:rPr>
            </w:pPr>
            <w:r w:rsidRPr="003E130A">
              <w:rPr>
                <w:rFonts w:ascii="Arial" w:eastAsia="Times New Roman" w:hAnsi="Arial" w:cs="Arial"/>
                <w:b/>
                <w:bCs/>
                <w:color w:val="FFFFFF"/>
                <w:sz w:val="18"/>
                <w:szCs w:val="18"/>
              </w:rPr>
              <w:t xml:space="preserve">% </w:t>
            </w:r>
            <w:r w:rsidRPr="003E130A">
              <w:rPr>
                <w:rFonts w:ascii="Arial" w:eastAsia="Times New Roman" w:hAnsi="Arial" w:cs="Arial"/>
                <w:b/>
                <w:bCs/>
                <w:color w:val="FFFFFF"/>
                <w:sz w:val="18"/>
                <w:szCs w:val="18"/>
              </w:rPr>
              <w:br/>
              <w:t>ex. FX</w:t>
            </w:r>
            <w:r w:rsidRPr="003E130A">
              <w:rPr>
                <w:rStyle w:val="Refdenotaalpie"/>
                <w:rFonts w:ascii="Arial" w:eastAsia="Times New Roman" w:hAnsi="Arial" w:cs="Arial"/>
                <w:b/>
                <w:bCs/>
                <w:color w:val="FFFFFF"/>
                <w:sz w:val="18"/>
                <w:szCs w:val="18"/>
              </w:rPr>
              <w:footnoteReference w:id="2"/>
            </w:r>
          </w:p>
        </w:tc>
      </w:tr>
      <w:tr w:rsidR="009E7DA9" w:rsidRPr="003E130A" w:rsidTr="009E7DA9">
        <w:trPr>
          <w:trHeight w:val="300"/>
          <w:jc w:val="center"/>
        </w:trPr>
        <w:tc>
          <w:tcPr>
            <w:tcW w:w="2645" w:type="dxa"/>
            <w:tcBorders>
              <w:top w:val="single" w:sz="4" w:space="0" w:color="BFBFBF"/>
              <w:left w:val="nil"/>
              <w:bottom w:val="single" w:sz="4" w:space="0" w:color="BFBFBF"/>
              <w:right w:val="nil"/>
            </w:tcBorders>
            <w:shd w:val="clear" w:color="auto" w:fill="auto"/>
            <w:noWrap/>
            <w:vAlign w:val="bottom"/>
            <w:hideMark/>
          </w:tcPr>
          <w:p w:rsidR="009E7DA9" w:rsidRPr="003E130A" w:rsidRDefault="00B71853" w:rsidP="009E7DA9">
            <w:pPr>
              <w:widowControl/>
              <w:rPr>
                <w:rFonts w:ascii="Arial" w:eastAsia="Times New Roman" w:hAnsi="Arial" w:cs="Arial"/>
                <w:sz w:val="18"/>
                <w:szCs w:val="18"/>
              </w:rPr>
            </w:pPr>
            <w:r w:rsidRPr="003E130A">
              <w:rPr>
                <w:rFonts w:ascii="Arial" w:eastAsia="Times New Roman" w:hAnsi="Arial" w:cs="Arial"/>
                <w:sz w:val="18"/>
                <w:szCs w:val="18"/>
              </w:rPr>
              <w:t xml:space="preserve">Europa del </w:t>
            </w:r>
            <w:proofErr w:type="spellStart"/>
            <w:r w:rsidRPr="003E130A">
              <w:rPr>
                <w:rFonts w:ascii="Arial" w:eastAsia="Times New Roman" w:hAnsi="Arial" w:cs="Arial"/>
                <w:sz w:val="18"/>
                <w:szCs w:val="18"/>
              </w:rPr>
              <w:t>Norte</w:t>
            </w:r>
            <w:proofErr w:type="spellEnd"/>
          </w:p>
        </w:tc>
        <w:tc>
          <w:tcPr>
            <w:tcW w:w="881" w:type="dxa"/>
            <w:tcBorders>
              <w:top w:val="single" w:sz="4" w:space="0" w:color="BFBFBF"/>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232.8</w:t>
            </w:r>
          </w:p>
        </w:tc>
        <w:tc>
          <w:tcPr>
            <w:tcW w:w="881" w:type="dxa"/>
            <w:tcBorders>
              <w:top w:val="single" w:sz="4" w:space="0" w:color="BFBFBF"/>
              <w:left w:val="nil"/>
              <w:bottom w:val="single" w:sz="4" w:space="0" w:color="BFBFBF"/>
              <w:right w:val="nil"/>
            </w:tcBorders>
            <w:shd w:val="clear" w:color="000000" w:fill="D1F0F1"/>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221.1</w:t>
            </w:r>
          </w:p>
        </w:tc>
        <w:tc>
          <w:tcPr>
            <w:tcW w:w="815" w:type="dxa"/>
            <w:tcBorders>
              <w:top w:val="single" w:sz="4" w:space="0" w:color="BFBFBF"/>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(5.0)%</w:t>
            </w:r>
          </w:p>
        </w:tc>
        <w:tc>
          <w:tcPr>
            <w:tcW w:w="733" w:type="dxa"/>
            <w:tcBorders>
              <w:top w:val="single" w:sz="4" w:space="0" w:color="BFBFBF"/>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(6.0)%</w:t>
            </w:r>
          </w:p>
        </w:tc>
      </w:tr>
      <w:tr w:rsidR="009E7DA9" w:rsidRPr="003E130A" w:rsidTr="009E7DA9">
        <w:trPr>
          <w:trHeight w:val="300"/>
          <w:jc w:val="center"/>
        </w:trPr>
        <w:tc>
          <w:tcPr>
            <w:tcW w:w="2645" w:type="dxa"/>
            <w:tcBorders>
              <w:top w:val="nil"/>
              <w:left w:val="nil"/>
              <w:bottom w:val="single" w:sz="4" w:space="0" w:color="BFBFBF"/>
              <w:right w:val="nil"/>
            </w:tcBorders>
            <w:shd w:val="clear" w:color="auto" w:fill="auto"/>
            <w:noWrap/>
            <w:vAlign w:val="bottom"/>
            <w:hideMark/>
          </w:tcPr>
          <w:p w:rsidR="009E7DA9" w:rsidRPr="003E130A" w:rsidRDefault="00B71853" w:rsidP="009E7DA9">
            <w:pPr>
              <w:widowControl/>
              <w:rPr>
                <w:rFonts w:ascii="Arial" w:eastAsia="Times New Roman" w:hAnsi="Arial" w:cs="Arial"/>
                <w:sz w:val="18"/>
                <w:szCs w:val="18"/>
              </w:rPr>
            </w:pPr>
            <w:r w:rsidRPr="003E130A">
              <w:rPr>
                <w:rFonts w:ascii="Arial" w:eastAsia="Times New Roman" w:hAnsi="Arial" w:cs="Arial"/>
                <w:sz w:val="18"/>
                <w:szCs w:val="18"/>
              </w:rPr>
              <w:t>Europa Occidental</w:t>
            </w:r>
          </w:p>
        </w:tc>
        <w:tc>
          <w:tcPr>
            <w:tcW w:w="881" w:type="dxa"/>
            <w:tcBorders>
              <w:top w:val="nil"/>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219.4</w:t>
            </w:r>
          </w:p>
        </w:tc>
        <w:tc>
          <w:tcPr>
            <w:tcW w:w="881" w:type="dxa"/>
            <w:tcBorders>
              <w:top w:val="nil"/>
              <w:left w:val="nil"/>
              <w:bottom w:val="nil"/>
              <w:right w:val="nil"/>
            </w:tcBorders>
            <w:shd w:val="clear" w:color="000000" w:fill="D1F0F1"/>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219.8</w:t>
            </w:r>
          </w:p>
        </w:tc>
        <w:tc>
          <w:tcPr>
            <w:tcW w:w="815" w:type="dxa"/>
            <w:tcBorders>
              <w:top w:val="nil"/>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+0.2%</w:t>
            </w:r>
          </w:p>
        </w:tc>
        <w:tc>
          <w:tcPr>
            <w:tcW w:w="733" w:type="dxa"/>
            <w:tcBorders>
              <w:top w:val="nil"/>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(0.0)%</w:t>
            </w:r>
          </w:p>
        </w:tc>
      </w:tr>
      <w:tr w:rsidR="009E7DA9" w:rsidRPr="003E130A" w:rsidTr="009E7DA9">
        <w:trPr>
          <w:trHeight w:val="315"/>
          <w:jc w:val="center"/>
        </w:trPr>
        <w:tc>
          <w:tcPr>
            <w:tcW w:w="2645" w:type="dxa"/>
            <w:tcBorders>
              <w:top w:val="nil"/>
              <w:left w:val="nil"/>
              <w:bottom w:val="single" w:sz="4" w:space="0" w:color="BFBFBF"/>
              <w:right w:val="nil"/>
            </w:tcBorders>
            <w:shd w:val="clear" w:color="auto" w:fill="auto"/>
            <w:noWrap/>
            <w:vAlign w:val="bottom"/>
            <w:hideMark/>
          </w:tcPr>
          <w:p w:rsidR="009E7DA9" w:rsidRPr="003E130A" w:rsidRDefault="00B71853" w:rsidP="009E7DA9">
            <w:pPr>
              <w:widowControl/>
              <w:rPr>
                <w:rFonts w:ascii="Arial" w:eastAsia="Times New Roman" w:hAnsi="Arial" w:cs="Arial"/>
                <w:sz w:val="18"/>
                <w:szCs w:val="18"/>
              </w:rPr>
            </w:pPr>
            <w:r w:rsidRPr="003E130A">
              <w:rPr>
                <w:rFonts w:ascii="Arial" w:eastAsia="Times New Roman" w:hAnsi="Arial" w:cs="Arial"/>
                <w:sz w:val="18"/>
                <w:szCs w:val="18"/>
              </w:rPr>
              <w:t>Europa Central y Oriental</w:t>
            </w:r>
          </w:p>
        </w:tc>
        <w:tc>
          <w:tcPr>
            <w:tcW w:w="881" w:type="dxa"/>
            <w:tcBorders>
              <w:top w:val="nil"/>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110.1</w:t>
            </w:r>
          </w:p>
        </w:tc>
        <w:tc>
          <w:tcPr>
            <w:tcW w:w="881" w:type="dxa"/>
            <w:tcBorders>
              <w:top w:val="single" w:sz="4" w:space="0" w:color="BFBFBF"/>
              <w:left w:val="nil"/>
              <w:bottom w:val="single" w:sz="4" w:space="0" w:color="BFBFBF"/>
              <w:right w:val="nil"/>
            </w:tcBorders>
            <w:shd w:val="clear" w:color="000000" w:fill="D1F0F1"/>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107.0</w:t>
            </w:r>
          </w:p>
        </w:tc>
        <w:tc>
          <w:tcPr>
            <w:tcW w:w="815" w:type="dxa"/>
            <w:tcBorders>
              <w:top w:val="nil"/>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(2.9)%</w:t>
            </w:r>
          </w:p>
        </w:tc>
        <w:tc>
          <w:tcPr>
            <w:tcW w:w="733" w:type="dxa"/>
            <w:tcBorders>
              <w:top w:val="nil"/>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(3.6)%</w:t>
            </w:r>
          </w:p>
        </w:tc>
      </w:tr>
      <w:tr w:rsidR="009E7DA9" w:rsidRPr="003E130A" w:rsidTr="009E7DA9">
        <w:trPr>
          <w:trHeight w:val="300"/>
          <w:jc w:val="center"/>
        </w:trPr>
        <w:tc>
          <w:tcPr>
            <w:tcW w:w="2645" w:type="dxa"/>
            <w:tcBorders>
              <w:top w:val="nil"/>
              <w:left w:val="nil"/>
              <w:bottom w:val="single" w:sz="4" w:space="0" w:color="BFBFBF"/>
              <w:right w:val="nil"/>
            </w:tcBorders>
            <w:shd w:val="clear" w:color="auto" w:fill="auto"/>
            <w:noWrap/>
            <w:vAlign w:val="bottom"/>
            <w:hideMark/>
          </w:tcPr>
          <w:p w:rsidR="009E7DA9" w:rsidRPr="003E130A" w:rsidRDefault="00B71853" w:rsidP="009E7DA9">
            <w:pPr>
              <w:widowControl/>
              <w:rPr>
                <w:rFonts w:ascii="Arial" w:eastAsia="Times New Roman" w:hAnsi="Arial" w:cs="Arial"/>
                <w:sz w:val="18"/>
                <w:szCs w:val="18"/>
              </w:rPr>
            </w:pPr>
            <w:proofErr w:type="spellStart"/>
            <w:r w:rsidRPr="003E130A">
              <w:rPr>
                <w:rFonts w:ascii="Arial" w:eastAsia="Times New Roman" w:hAnsi="Arial" w:cs="Arial"/>
                <w:sz w:val="18"/>
                <w:szCs w:val="18"/>
              </w:rPr>
              <w:t>Mediterráneo</w:t>
            </w:r>
            <w:proofErr w:type="spellEnd"/>
            <w:r w:rsidRPr="003E130A">
              <w:rPr>
                <w:rFonts w:ascii="Arial" w:eastAsia="Times New Roman" w:hAnsi="Arial" w:cs="Arial"/>
                <w:sz w:val="18"/>
                <w:szCs w:val="18"/>
              </w:rPr>
              <w:t xml:space="preserve"> y </w:t>
            </w:r>
            <w:proofErr w:type="spellStart"/>
            <w:r w:rsidRPr="003E130A">
              <w:rPr>
                <w:rFonts w:ascii="Arial" w:eastAsia="Times New Roman" w:hAnsi="Arial" w:cs="Arial"/>
                <w:sz w:val="18"/>
                <w:szCs w:val="18"/>
              </w:rPr>
              <w:t>África</w:t>
            </w:r>
            <w:proofErr w:type="spellEnd"/>
          </w:p>
        </w:tc>
        <w:tc>
          <w:tcPr>
            <w:tcW w:w="881" w:type="dxa"/>
            <w:tcBorders>
              <w:top w:val="nil"/>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288.7</w:t>
            </w:r>
          </w:p>
        </w:tc>
        <w:tc>
          <w:tcPr>
            <w:tcW w:w="881" w:type="dxa"/>
            <w:tcBorders>
              <w:top w:val="nil"/>
              <w:left w:val="nil"/>
              <w:bottom w:val="nil"/>
              <w:right w:val="nil"/>
            </w:tcBorders>
            <w:shd w:val="clear" w:color="000000" w:fill="D1F0F1"/>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291.8</w:t>
            </w:r>
          </w:p>
        </w:tc>
        <w:tc>
          <w:tcPr>
            <w:tcW w:w="815" w:type="dxa"/>
            <w:tcBorders>
              <w:top w:val="nil"/>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+1.1%</w:t>
            </w:r>
          </w:p>
        </w:tc>
        <w:tc>
          <w:tcPr>
            <w:tcW w:w="733" w:type="dxa"/>
            <w:tcBorders>
              <w:top w:val="nil"/>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+2.1%</w:t>
            </w:r>
          </w:p>
        </w:tc>
      </w:tr>
      <w:tr w:rsidR="009E7DA9" w:rsidRPr="003E130A" w:rsidTr="009E7DA9">
        <w:trPr>
          <w:trHeight w:val="300"/>
          <w:jc w:val="center"/>
        </w:trPr>
        <w:tc>
          <w:tcPr>
            <w:tcW w:w="2645" w:type="dxa"/>
            <w:tcBorders>
              <w:top w:val="nil"/>
              <w:left w:val="nil"/>
              <w:bottom w:val="single" w:sz="4" w:space="0" w:color="BFBFBF"/>
              <w:right w:val="nil"/>
            </w:tcBorders>
            <w:shd w:val="clear" w:color="auto" w:fill="auto"/>
            <w:noWrap/>
            <w:vAlign w:val="bottom"/>
            <w:hideMark/>
          </w:tcPr>
          <w:p w:rsidR="009E7DA9" w:rsidRPr="003E130A" w:rsidRDefault="00B71853" w:rsidP="009E7DA9">
            <w:pPr>
              <w:widowControl/>
              <w:rPr>
                <w:rFonts w:ascii="Arial" w:eastAsia="Times New Roman" w:hAnsi="Arial" w:cs="Arial"/>
                <w:sz w:val="18"/>
                <w:szCs w:val="18"/>
              </w:rPr>
            </w:pPr>
            <w:proofErr w:type="spellStart"/>
            <w:r w:rsidRPr="003E130A">
              <w:rPr>
                <w:rFonts w:ascii="Arial" w:eastAsia="Times New Roman" w:hAnsi="Arial" w:cs="Arial"/>
                <w:sz w:val="18"/>
                <w:szCs w:val="18"/>
              </w:rPr>
              <w:t>Norteamé</w:t>
            </w:r>
            <w:r w:rsidR="009E7DA9" w:rsidRPr="003E130A">
              <w:rPr>
                <w:rFonts w:ascii="Arial" w:eastAsia="Times New Roman" w:hAnsi="Arial" w:cs="Arial"/>
                <w:sz w:val="18"/>
                <w:szCs w:val="18"/>
              </w:rPr>
              <w:t>rica</w:t>
            </w:r>
            <w:proofErr w:type="spellEnd"/>
          </w:p>
        </w:tc>
        <w:tc>
          <w:tcPr>
            <w:tcW w:w="881" w:type="dxa"/>
            <w:tcBorders>
              <w:top w:val="nil"/>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102.7</w:t>
            </w:r>
          </w:p>
        </w:tc>
        <w:tc>
          <w:tcPr>
            <w:tcW w:w="881" w:type="dxa"/>
            <w:tcBorders>
              <w:top w:val="single" w:sz="4" w:space="0" w:color="BFBFBF"/>
              <w:left w:val="nil"/>
              <w:bottom w:val="single" w:sz="4" w:space="0" w:color="BFBFBF"/>
              <w:right w:val="nil"/>
            </w:tcBorders>
            <w:shd w:val="clear" w:color="000000" w:fill="D1F0F1"/>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102.3</w:t>
            </w:r>
          </w:p>
        </w:tc>
        <w:tc>
          <w:tcPr>
            <w:tcW w:w="815" w:type="dxa"/>
            <w:tcBorders>
              <w:top w:val="nil"/>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(0.4)%</w:t>
            </w:r>
          </w:p>
        </w:tc>
        <w:tc>
          <w:tcPr>
            <w:tcW w:w="733" w:type="dxa"/>
            <w:tcBorders>
              <w:top w:val="nil"/>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(0.1)%</w:t>
            </w:r>
          </w:p>
        </w:tc>
      </w:tr>
      <w:tr w:rsidR="009E7DA9" w:rsidRPr="003E130A" w:rsidTr="009E7DA9">
        <w:trPr>
          <w:trHeight w:val="315"/>
          <w:jc w:val="center"/>
        </w:trPr>
        <w:tc>
          <w:tcPr>
            <w:tcW w:w="2645" w:type="dxa"/>
            <w:tcBorders>
              <w:top w:val="nil"/>
              <w:left w:val="nil"/>
              <w:bottom w:val="single" w:sz="4" w:space="0" w:color="BFBFBF"/>
              <w:right w:val="nil"/>
            </w:tcBorders>
            <w:shd w:val="clear" w:color="auto" w:fill="auto"/>
            <w:noWrap/>
            <w:vAlign w:val="bottom"/>
            <w:hideMark/>
          </w:tcPr>
          <w:p w:rsidR="009E7DA9" w:rsidRPr="003E130A" w:rsidRDefault="00B71853" w:rsidP="009E7DA9">
            <w:pPr>
              <w:widowControl/>
              <w:rPr>
                <w:rFonts w:ascii="Arial" w:eastAsia="Times New Roman" w:hAnsi="Arial" w:cs="Arial"/>
                <w:sz w:val="18"/>
                <w:szCs w:val="18"/>
              </w:rPr>
            </w:pPr>
            <w:proofErr w:type="spellStart"/>
            <w:r w:rsidRPr="003E130A">
              <w:rPr>
                <w:rFonts w:ascii="Arial" w:eastAsia="Times New Roman" w:hAnsi="Arial" w:cs="Arial"/>
                <w:sz w:val="18"/>
                <w:szCs w:val="18"/>
              </w:rPr>
              <w:t>Latinoamé</w:t>
            </w:r>
            <w:r w:rsidR="009E7DA9" w:rsidRPr="003E130A">
              <w:rPr>
                <w:rFonts w:ascii="Arial" w:eastAsia="Times New Roman" w:hAnsi="Arial" w:cs="Arial"/>
                <w:sz w:val="18"/>
                <w:szCs w:val="18"/>
              </w:rPr>
              <w:t>rica</w:t>
            </w:r>
            <w:proofErr w:type="spellEnd"/>
          </w:p>
        </w:tc>
        <w:tc>
          <w:tcPr>
            <w:tcW w:w="881" w:type="dxa"/>
            <w:tcBorders>
              <w:top w:val="nil"/>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61.6</w:t>
            </w:r>
          </w:p>
        </w:tc>
        <w:tc>
          <w:tcPr>
            <w:tcW w:w="881" w:type="dxa"/>
            <w:tcBorders>
              <w:top w:val="nil"/>
              <w:left w:val="nil"/>
              <w:bottom w:val="nil"/>
              <w:right w:val="nil"/>
            </w:tcBorders>
            <w:shd w:val="clear" w:color="000000" w:fill="D1F0F1"/>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50.8</w:t>
            </w:r>
          </w:p>
        </w:tc>
        <w:tc>
          <w:tcPr>
            <w:tcW w:w="815" w:type="dxa"/>
            <w:tcBorders>
              <w:top w:val="nil"/>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(17.5)%</w:t>
            </w:r>
          </w:p>
        </w:tc>
        <w:tc>
          <w:tcPr>
            <w:tcW w:w="733" w:type="dxa"/>
            <w:tcBorders>
              <w:top w:val="nil"/>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+2.0%</w:t>
            </w:r>
          </w:p>
        </w:tc>
      </w:tr>
      <w:tr w:rsidR="009E7DA9" w:rsidRPr="003E130A" w:rsidTr="009E7DA9">
        <w:trPr>
          <w:trHeight w:val="300"/>
          <w:jc w:val="center"/>
        </w:trPr>
        <w:tc>
          <w:tcPr>
            <w:tcW w:w="2645" w:type="dxa"/>
            <w:tcBorders>
              <w:top w:val="nil"/>
              <w:left w:val="nil"/>
              <w:bottom w:val="nil"/>
              <w:right w:val="nil"/>
            </w:tcBorders>
            <w:shd w:val="clear" w:color="auto" w:fill="auto"/>
            <w:noWrap/>
            <w:vAlign w:val="bottom"/>
            <w:hideMark/>
          </w:tcPr>
          <w:p w:rsidR="009E7DA9" w:rsidRPr="003E130A" w:rsidRDefault="00B71853" w:rsidP="009E7DA9">
            <w:pPr>
              <w:widowControl/>
              <w:rPr>
                <w:rFonts w:ascii="Arial" w:eastAsia="Times New Roman" w:hAnsi="Arial" w:cs="Arial"/>
                <w:sz w:val="18"/>
                <w:szCs w:val="18"/>
              </w:rPr>
            </w:pPr>
            <w:r w:rsidRPr="003E130A">
              <w:rPr>
                <w:rFonts w:ascii="Arial" w:eastAsia="Times New Roman" w:hAnsi="Arial" w:cs="Arial"/>
                <w:sz w:val="18"/>
                <w:szCs w:val="18"/>
              </w:rPr>
              <w:t xml:space="preserve">Asia </w:t>
            </w:r>
            <w:proofErr w:type="spellStart"/>
            <w:r w:rsidRPr="003E130A">
              <w:rPr>
                <w:rFonts w:ascii="Arial" w:eastAsia="Times New Roman" w:hAnsi="Arial" w:cs="Arial"/>
                <w:sz w:val="18"/>
                <w:szCs w:val="18"/>
              </w:rPr>
              <w:t>Pací</w:t>
            </w:r>
            <w:r w:rsidR="009E7DA9" w:rsidRPr="003E130A">
              <w:rPr>
                <w:rFonts w:ascii="Arial" w:eastAsia="Times New Roman" w:hAnsi="Arial" w:cs="Arial"/>
                <w:sz w:val="18"/>
                <w:szCs w:val="18"/>
              </w:rPr>
              <w:t>fic</w:t>
            </w:r>
            <w:r w:rsidRPr="003E130A">
              <w:rPr>
                <w:rFonts w:ascii="Arial" w:eastAsia="Times New Roman" w:hAnsi="Arial" w:cs="Arial"/>
                <w:sz w:val="18"/>
                <w:szCs w:val="18"/>
              </w:rPr>
              <w:t>o</w:t>
            </w:r>
            <w:proofErr w:type="spellEnd"/>
          </w:p>
        </w:tc>
        <w:tc>
          <w:tcPr>
            <w:tcW w:w="881" w:type="dxa"/>
            <w:tcBorders>
              <w:top w:val="nil"/>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88.2</w:t>
            </w:r>
          </w:p>
        </w:tc>
        <w:tc>
          <w:tcPr>
            <w:tcW w:w="881" w:type="dxa"/>
            <w:tcBorders>
              <w:top w:val="single" w:sz="4" w:space="0" w:color="BFBFBF"/>
              <w:left w:val="nil"/>
              <w:bottom w:val="single" w:sz="4" w:space="0" w:color="BFBFBF"/>
              <w:right w:val="nil"/>
            </w:tcBorders>
            <w:shd w:val="clear" w:color="000000" w:fill="D1F0F1"/>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89.5</w:t>
            </w:r>
          </w:p>
        </w:tc>
        <w:tc>
          <w:tcPr>
            <w:tcW w:w="815" w:type="dxa"/>
            <w:tcBorders>
              <w:top w:val="nil"/>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+1.5%</w:t>
            </w:r>
          </w:p>
        </w:tc>
        <w:tc>
          <w:tcPr>
            <w:tcW w:w="733" w:type="dxa"/>
            <w:tcBorders>
              <w:top w:val="nil"/>
              <w:left w:val="nil"/>
              <w:bottom w:val="single" w:sz="4" w:space="0" w:color="BFBFBF"/>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sz w:val="18"/>
                <w:szCs w:val="18"/>
              </w:rPr>
            </w:pPr>
            <w:r w:rsidRPr="003E130A">
              <w:rPr>
                <w:rFonts w:ascii="Arial" w:eastAsia="Times New Roman" w:hAnsi="Arial" w:cs="Arial"/>
                <w:sz w:val="18"/>
                <w:szCs w:val="18"/>
              </w:rPr>
              <w:t>+1.3%</w:t>
            </w:r>
          </w:p>
        </w:tc>
      </w:tr>
      <w:tr w:rsidR="009E7DA9" w:rsidRPr="003E130A" w:rsidTr="009E7DA9">
        <w:trPr>
          <w:trHeight w:val="315"/>
          <w:jc w:val="center"/>
        </w:trPr>
        <w:tc>
          <w:tcPr>
            <w:tcW w:w="2645" w:type="dxa"/>
            <w:tcBorders>
              <w:top w:val="single" w:sz="4" w:space="0" w:color="18B3B9"/>
              <w:left w:val="nil"/>
              <w:bottom w:val="single" w:sz="8" w:space="0" w:color="18B3B9"/>
              <w:right w:val="nil"/>
            </w:tcBorders>
            <w:shd w:val="clear" w:color="auto" w:fill="auto"/>
            <w:noWrap/>
            <w:vAlign w:val="bottom"/>
            <w:hideMark/>
          </w:tcPr>
          <w:p w:rsidR="009E7DA9" w:rsidRPr="003E130A" w:rsidRDefault="00B71853" w:rsidP="009E7DA9">
            <w:pPr>
              <w:widowControl/>
              <w:rPr>
                <w:rFonts w:ascii="Arial" w:eastAsia="Times New Roman" w:hAnsi="Arial" w:cs="Arial"/>
                <w:b/>
                <w:bCs/>
                <w:color w:val="18B3B9"/>
                <w:sz w:val="18"/>
                <w:szCs w:val="18"/>
              </w:rPr>
            </w:pPr>
            <w:r w:rsidRPr="003E130A">
              <w:rPr>
                <w:rFonts w:ascii="Arial" w:eastAsia="Times New Roman" w:hAnsi="Arial" w:cs="Arial"/>
                <w:b/>
                <w:bCs/>
                <w:color w:val="18B3B9"/>
                <w:sz w:val="18"/>
                <w:szCs w:val="18"/>
              </w:rPr>
              <w:t xml:space="preserve">Total de </w:t>
            </w:r>
            <w:proofErr w:type="spellStart"/>
            <w:r w:rsidRPr="003E130A">
              <w:rPr>
                <w:rFonts w:ascii="Arial" w:eastAsia="Times New Roman" w:hAnsi="Arial" w:cs="Arial"/>
                <w:b/>
                <w:bCs/>
                <w:color w:val="18B3B9"/>
                <w:sz w:val="18"/>
                <w:szCs w:val="18"/>
              </w:rPr>
              <w:t>grupo</w:t>
            </w:r>
            <w:proofErr w:type="spellEnd"/>
          </w:p>
        </w:tc>
        <w:tc>
          <w:tcPr>
            <w:tcW w:w="881" w:type="dxa"/>
            <w:tcBorders>
              <w:top w:val="single" w:sz="4" w:space="0" w:color="18B3B9"/>
              <w:left w:val="nil"/>
              <w:bottom w:val="single" w:sz="8" w:space="0" w:color="18B3B9"/>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b/>
                <w:bCs/>
                <w:color w:val="18B3B9"/>
                <w:sz w:val="18"/>
                <w:szCs w:val="18"/>
              </w:rPr>
            </w:pPr>
            <w:r w:rsidRPr="003E130A">
              <w:rPr>
                <w:rFonts w:ascii="Arial" w:eastAsia="Times New Roman" w:hAnsi="Arial" w:cs="Arial"/>
                <w:b/>
                <w:bCs/>
                <w:color w:val="18B3B9"/>
                <w:sz w:val="18"/>
                <w:szCs w:val="18"/>
              </w:rPr>
              <w:t xml:space="preserve">1,103.4 </w:t>
            </w:r>
          </w:p>
        </w:tc>
        <w:tc>
          <w:tcPr>
            <w:tcW w:w="881" w:type="dxa"/>
            <w:tcBorders>
              <w:top w:val="single" w:sz="4" w:space="0" w:color="18B3B9"/>
              <w:left w:val="nil"/>
              <w:bottom w:val="single" w:sz="8" w:space="0" w:color="18B3B9"/>
              <w:right w:val="nil"/>
            </w:tcBorders>
            <w:shd w:val="clear" w:color="000000" w:fill="D1F0F1"/>
            <w:noWrap/>
            <w:vAlign w:val="bottom"/>
            <w:hideMark/>
          </w:tcPr>
          <w:p w:rsidR="009E7DA9" w:rsidRPr="003E130A" w:rsidRDefault="009E7DA9" w:rsidP="009E7DA9">
            <w:pPr>
              <w:widowControl/>
              <w:jc w:val="right"/>
              <w:rPr>
                <w:rFonts w:ascii="Arial" w:eastAsia="Times New Roman" w:hAnsi="Arial" w:cs="Arial"/>
                <w:b/>
                <w:bCs/>
                <w:color w:val="18B3B9"/>
                <w:sz w:val="18"/>
                <w:szCs w:val="18"/>
              </w:rPr>
            </w:pPr>
            <w:r w:rsidRPr="003E130A">
              <w:rPr>
                <w:rFonts w:ascii="Arial" w:eastAsia="Times New Roman" w:hAnsi="Arial" w:cs="Arial"/>
                <w:b/>
                <w:bCs/>
                <w:color w:val="18B3B9"/>
                <w:sz w:val="18"/>
                <w:szCs w:val="18"/>
              </w:rPr>
              <w:t>1,082.3</w:t>
            </w:r>
          </w:p>
        </w:tc>
        <w:tc>
          <w:tcPr>
            <w:tcW w:w="815" w:type="dxa"/>
            <w:tcBorders>
              <w:top w:val="single" w:sz="4" w:space="0" w:color="18B3B9"/>
              <w:left w:val="nil"/>
              <w:bottom w:val="single" w:sz="8" w:space="0" w:color="18B3B9"/>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b/>
                <w:bCs/>
                <w:color w:val="18B3B9"/>
                <w:sz w:val="18"/>
                <w:szCs w:val="18"/>
              </w:rPr>
            </w:pPr>
            <w:r w:rsidRPr="003E130A">
              <w:rPr>
                <w:rFonts w:ascii="Arial" w:eastAsia="Times New Roman" w:hAnsi="Arial" w:cs="Arial"/>
                <w:b/>
                <w:bCs/>
                <w:color w:val="18B3B9"/>
                <w:sz w:val="18"/>
                <w:szCs w:val="18"/>
              </w:rPr>
              <w:t>(1.9)%</w:t>
            </w:r>
          </w:p>
        </w:tc>
        <w:tc>
          <w:tcPr>
            <w:tcW w:w="733" w:type="dxa"/>
            <w:tcBorders>
              <w:top w:val="single" w:sz="4" w:space="0" w:color="18B3B9"/>
              <w:left w:val="nil"/>
              <w:bottom w:val="single" w:sz="8" w:space="0" w:color="18B3B9"/>
              <w:right w:val="nil"/>
            </w:tcBorders>
            <w:shd w:val="clear" w:color="000000" w:fill="FFFFFF"/>
            <w:noWrap/>
            <w:vAlign w:val="bottom"/>
            <w:hideMark/>
          </w:tcPr>
          <w:p w:rsidR="009E7DA9" w:rsidRPr="003E130A" w:rsidRDefault="009E7DA9" w:rsidP="009E7DA9">
            <w:pPr>
              <w:widowControl/>
              <w:jc w:val="right"/>
              <w:rPr>
                <w:rFonts w:ascii="Arial" w:eastAsia="Times New Roman" w:hAnsi="Arial" w:cs="Arial"/>
                <w:b/>
                <w:bCs/>
                <w:color w:val="18B3B9"/>
                <w:sz w:val="18"/>
                <w:szCs w:val="18"/>
              </w:rPr>
            </w:pPr>
            <w:r w:rsidRPr="003E130A">
              <w:rPr>
                <w:rFonts w:ascii="Arial" w:eastAsia="Times New Roman" w:hAnsi="Arial" w:cs="Arial"/>
                <w:b/>
                <w:bCs/>
                <w:color w:val="18B3B9"/>
                <w:sz w:val="18"/>
                <w:szCs w:val="18"/>
              </w:rPr>
              <w:t>(0.9)%</w:t>
            </w:r>
          </w:p>
        </w:tc>
      </w:tr>
    </w:tbl>
    <w:p w:rsidR="009E7DA9" w:rsidRPr="003E130A" w:rsidRDefault="009E7DA9" w:rsidP="00383ACF">
      <w:pPr>
        <w:tabs>
          <w:tab w:val="left" w:pos="4090"/>
        </w:tabs>
        <w:suppressAutoHyphens/>
        <w:spacing w:line="270" w:lineRule="exact"/>
        <w:ind w:right="-121"/>
        <w:jc w:val="both"/>
        <w:rPr>
          <w:rFonts w:ascii="Arial" w:hAnsi="Arial" w:cs="Arial"/>
          <w:bCs/>
          <w:sz w:val="20"/>
          <w:szCs w:val="20"/>
        </w:rPr>
      </w:pPr>
      <w:bookmarkStart w:id="0" w:name="_GoBack"/>
      <w:bookmarkEnd w:id="0"/>
    </w:p>
    <w:p w:rsidR="00B71853" w:rsidRPr="003E130A" w:rsidRDefault="00B71853" w:rsidP="00B71853">
      <w:pPr>
        <w:suppressAutoHyphens/>
        <w:spacing w:after="120" w:line="276" w:lineRule="auto"/>
        <w:jc w:val="both"/>
        <w:rPr>
          <w:rFonts w:ascii="Arial" w:hAnsi="Arial" w:cs="Arial"/>
          <w:sz w:val="20"/>
          <w:szCs w:val="20"/>
          <w:lang w:val="es-ES" w:eastAsia="fr-FR"/>
        </w:rPr>
      </w:pPr>
      <w:r w:rsidRPr="003E130A">
        <w:rPr>
          <w:rFonts w:ascii="Arial" w:hAnsi="Arial" w:cs="Arial"/>
          <w:sz w:val="20"/>
          <w:szCs w:val="20"/>
          <w:lang w:val="es-ES" w:eastAsia="fr-FR"/>
        </w:rPr>
        <w:t>En la región de Europa del Norte, los ingresos disminuyeron un -5,0% y un -6,0% a cambio constante. Los seguros de crédito bajaron un -4,0%, afectados por la contracción de las actividades de los clientes, parcialmente compensados por un buen nivel de retención, así como por un repunte de la nueva producción.</w:t>
      </w:r>
    </w:p>
    <w:p w:rsidR="00B71853" w:rsidRPr="003E130A" w:rsidRDefault="00B71853" w:rsidP="00B71853">
      <w:pPr>
        <w:suppressAutoHyphens/>
        <w:spacing w:after="120" w:line="276" w:lineRule="auto"/>
        <w:jc w:val="both"/>
        <w:rPr>
          <w:rFonts w:ascii="Arial" w:hAnsi="Arial" w:cs="Arial"/>
          <w:sz w:val="20"/>
          <w:szCs w:val="20"/>
          <w:lang w:val="es-ES" w:eastAsia="fr-FR"/>
        </w:rPr>
      </w:pPr>
      <w:r w:rsidRPr="003E130A">
        <w:rPr>
          <w:rFonts w:ascii="Arial" w:hAnsi="Arial" w:cs="Arial"/>
          <w:sz w:val="20"/>
          <w:szCs w:val="20"/>
          <w:lang w:val="es-ES" w:eastAsia="fr-FR"/>
        </w:rPr>
        <w:t xml:space="preserve">En Europa Occidental, el volumen de negocios creció un +0,2% y se mantuvo estable a tipos de cambio constantes, debido principalmente a la retención récord de clientes y al crecimiento de </w:t>
      </w:r>
      <w:r w:rsidRPr="003E130A">
        <w:rPr>
          <w:rFonts w:ascii="Arial" w:hAnsi="Arial" w:cs="Arial"/>
          <w:sz w:val="20"/>
          <w:szCs w:val="20"/>
          <w:lang w:val="es-ES" w:eastAsia="fr-FR"/>
        </w:rPr>
        <w:lastRenderedPageBreak/>
        <w:t>la nueva actividad en el seguro de crédito.</w:t>
      </w:r>
    </w:p>
    <w:p w:rsidR="00B71853" w:rsidRPr="003E130A" w:rsidRDefault="00B71853" w:rsidP="00B71853">
      <w:pPr>
        <w:suppressAutoHyphens/>
        <w:spacing w:after="120" w:line="276" w:lineRule="auto"/>
        <w:jc w:val="both"/>
        <w:rPr>
          <w:rFonts w:ascii="Arial" w:hAnsi="Arial" w:cs="Arial"/>
          <w:sz w:val="20"/>
          <w:szCs w:val="20"/>
          <w:lang w:val="es-ES" w:eastAsia="fr-FR"/>
        </w:rPr>
      </w:pPr>
      <w:r w:rsidRPr="003E130A">
        <w:rPr>
          <w:rFonts w:ascii="Arial" w:hAnsi="Arial" w:cs="Arial"/>
          <w:sz w:val="20"/>
          <w:szCs w:val="20"/>
          <w:lang w:val="es-ES" w:eastAsia="fr-FR"/>
        </w:rPr>
        <w:t>En Europa Central y Oriental, el volumen de negocios se redujo en un -2,9% y en un -3,6% a tipos de cambio constantes, debido principalmente al cambio de tendencia del seguro de crédito, que disminuyó como consecuencia de la menor actividad de los clientes.</w:t>
      </w:r>
    </w:p>
    <w:p w:rsidR="00964D95" w:rsidRPr="003E130A" w:rsidRDefault="00B71853" w:rsidP="00B71853">
      <w:pPr>
        <w:suppressAutoHyphens/>
        <w:spacing w:after="120" w:line="276" w:lineRule="auto"/>
        <w:jc w:val="both"/>
        <w:rPr>
          <w:rFonts w:ascii="Arial" w:hAnsi="Arial" w:cs="Arial"/>
          <w:sz w:val="20"/>
          <w:szCs w:val="20"/>
          <w:lang w:val="es-ES" w:eastAsia="fr-FR"/>
        </w:rPr>
      </w:pPr>
      <w:r w:rsidRPr="003E130A">
        <w:rPr>
          <w:rFonts w:ascii="Arial" w:hAnsi="Arial" w:cs="Arial"/>
          <w:sz w:val="20"/>
          <w:szCs w:val="20"/>
          <w:lang w:val="es-ES" w:eastAsia="fr-FR"/>
        </w:rPr>
        <w:t>En el Mediterráneo y África, región impulsada por Italia y España, el volumen de negocios creció un 1,1% y un 2,1% a tipos de cambio constantes, gracias a las ventas positivas y a un alto nivel de retención de clientes</w:t>
      </w:r>
      <w:r w:rsidR="00964D95" w:rsidRPr="003E130A">
        <w:rPr>
          <w:rFonts w:ascii="Arial" w:hAnsi="Arial" w:cs="Arial"/>
          <w:sz w:val="20"/>
          <w:szCs w:val="20"/>
          <w:lang w:val="es-ES" w:eastAsia="fr-FR"/>
        </w:rPr>
        <w:t>.</w:t>
      </w:r>
    </w:p>
    <w:p w:rsidR="00643216" w:rsidRPr="003E130A" w:rsidRDefault="00643216" w:rsidP="00643216">
      <w:pPr>
        <w:suppressAutoHyphens/>
        <w:spacing w:after="120" w:line="276" w:lineRule="auto"/>
        <w:jc w:val="both"/>
        <w:rPr>
          <w:rFonts w:ascii="Arial" w:hAnsi="Arial" w:cs="Arial"/>
          <w:sz w:val="20"/>
          <w:szCs w:val="20"/>
          <w:lang w:val="es-ES" w:eastAsia="fr-FR"/>
        </w:rPr>
      </w:pPr>
      <w:r w:rsidRPr="003E130A">
        <w:rPr>
          <w:rFonts w:ascii="Arial" w:hAnsi="Arial" w:cs="Arial"/>
          <w:sz w:val="20"/>
          <w:szCs w:val="20"/>
          <w:lang w:val="es-ES" w:eastAsia="fr-FR"/>
        </w:rPr>
        <w:t>En América del Norte, el volumen de negocios cayó ligeramente en un -0,4% con base a los reportes y en un -0,1% a cambio constante. La retención de clientes mejoró y ahora está cerca de la media del grupo, mientras que los nuevos negocios están experimentando un mayor crecimiento.</w:t>
      </w:r>
    </w:p>
    <w:p w:rsidR="00643216" w:rsidRPr="003E130A" w:rsidRDefault="00643216" w:rsidP="00643216">
      <w:pPr>
        <w:suppressAutoHyphens/>
        <w:spacing w:after="120" w:line="276" w:lineRule="auto"/>
        <w:jc w:val="both"/>
        <w:rPr>
          <w:rFonts w:ascii="Arial" w:hAnsi="Arial" w:cs="Arial"/>
          <w:sz w:val="20"/>
          <w:szCs w:val="20"/>
          <w:lang w:val="es-ES" w:eastAsia="fr-FR"/>
        </w:rPr>
      </w:pPr>
      <w:r w:rsidRPr="003E130A">
        <w:rPr>
          <w:rFonts w:ascii="Arial" w:hAnsi="Arial" w:cs="Arial"/>
          <w:sz w:val="20"/>
          <w:szCs w:val="20"/>
          <w:lang w:val="es-ES" w:eastAsia="fr-FR"/>
        </w:rPr>
        <w:t>Los mercados emergentes registraron un ligero crecimiento a un precio y perímetro constantes. El volumen de negocios de la región de Asia</w:t>
      </w:r>
      <w:r w:rsidR="007D5BFB">
        <w:rPr>
          <w:rFonts w:ascii="Arial" w:hAnsi="Arial" w:cs="Arial"/>
          <w:sz w:val="20"/>
          <w:szCs w:val="20"/>
          <w:lang w:val="es-ES" w:eastAsia="fr-FR"/>
        </w:rPr>
        <w:t>-</w:t>
      </w:r>
      <w:r w:rsidRPr="003E130A">
        <w:rPr>
          <w:rFonts w:ascii="Arial" w:hAnsi="Arial" w:cs="Arial"/>
          <w:sz w:val="20"/>
          <w:szCs w:val="20"/>
          <w:lang w:val="es-ES" w:eastAsia="fr-FR"/>
        </w:rPr>
        <w:t>Pacífico aumentó en un +1,5% a tipo de cambio actual y en un +1,3% a tipo de cambio constante. La actividad de los clientes disminuyó y la región está mostrando un mejor rendimiento de las ventas.</w:t>
      </w:r>
    </w:p>
    <w:p w:rsidR="00964D95" w:rsidRPr="003E130A" w:rsidRDefault="00643216" w:rsidP="00643216">
      <w:pPr>
        <w:suppressAutoHyphens/>
        <w:spacing w:after="120" w:line="276" w:lineRule="auto"/>
        <w:jc w:val="both"/>
        <w:rPr>
          <w:rFonts w:ascii="Arial" w:hAnsi="Arial" w:cs="Arial"/>
          <w:sz w:val="20"/>
          <w:szCs w:val="20"/>
          <w:lang w:val="es-ES" w:eastAsia="fr-FR"/>
        </w:rPr>
      </w:pPr>
      <w:r w:rsidRPr="003E130A">
        <w:rPr>
          <w:rFonts w:ascii="Arial" w:hAnsi="Arial" w:cs="Arial"/>
          <w:sz w:val="20"/>
          <w:szCs w:val="20"/>
          <w:lang w:val="es-ES" w:eastAsia="fr-FR"/>
        </w:rPr>
        <w:t xml:space="preserve">En América Latina, el volumen de negocios cayó un -17,5% </w:t>
      </w:r>
      <w:r w:rsidR="007D5BFB">
        <w:rPr>
          <w:rFonts w:ascii="Arial" w:hAnsi="Arial" w:cs="Arial"/>
          <w:sz w:val="20"/>
          <w:szCs w:val="20"/>
          <w:lang w:val="es-ES" w:eastAsia="fr-FR"/>
        </w:rPr>
        <w:t>a</w:t>
      </w:r>
      <w:r w:rsidRPr="003E130A">
        <w:rPr>
          <w:rFonts w:ascii="Arial" w:hAnsi="Arial" w:cs="Arial"/>
          <w:sz w:val="20"/>
          <w:szCs w:val="20"/>
          <w:lang w:val="es-ES" w:eastAsia="fr-FR"/>
        </w:rPr>
        <w:t xml:space="preserve"> tipo de cambio actual, pero aumentó un +2,0% </w:t>
      </w:r>
      <w:r w:rsidR="007D5BFB">
        <w:rPr>
          <w:rFonts w:ascii="Arial" w:hAnsi="Arial" w:cs="Arial"/>
          <w:sz w:val="20"/>
          <w:szCs w:val="20"/>
          <w:lang w:val="es-ES" w:eastAsia="fr-FR"/>
        </w:rPr>
        <w:t>a</w:t>
      </w:r>
      <w:r w:rsidRPr="003E130A">
        <w:rPr>
          <w:rFonts w:ascii="Arial" w:hAnsi="Arial" w:cs="Arial"/>
          <w:sz w:val="20"/>
          <w:szCs w:val="20"/>
          <w:lang w:val="es-ES" w:eastAsia="fr-FR"/>
        </w:rPr>
        <w:t xml:space="preserve"> tipo de cambio constante. Estas cifras se ven afectadas por la existencia de p</w:t>
      </w:r>
      <w:r w:rsidR="007D5BFB">
        <w:rPr>
          <w:rFonts w:ascii="Arial" w:hAnsi="Arial" w:cs="Arial"/>
          <w:sz w:val="20"/>
          <w:szCs w:val="20"/>
          <w:lang w:val="es-ES" w:eastAsia="fr-FR"/>
        </w:rPr>
        <w:t>ólizas</w:t>
      </w:r>
      <w:r w:rsidRPr="003E130A">
        <w:rPr>
          <w:rFonts w:ascii="Arial" w:hAnsi="Arial" w:cs="Arial"/>
          <w:sz w:val="20"/>
          <w:szCs w:val="20"/>
          <w:lang w:val="es-ES" w:eastAsia="fr-FR"/>
        </w:rPr>
        <w:t xml:space="preserve"> locales expresadas en moneda</w:t>
      </w:r>
      <w:r w:rsidR="007D5BFB">
        <w:rPr>
          <w:rFonts w:ascii="Arial" w:hAnsi="Arial" w:cs="Arial"/>
          <w:sz w:val="20"/>
          <w:szCs w:val="20"/>
          <w:lang w:val="es-ES" w:eastAsia="fr-FR"/>
        </w:rPr>
        <w:t>s</w:t>
      </w:r>
      <w:r w:rsidRPr="003E130A">
        <w:rPr>
          <w:rFonts w:ascii="Arial" w:hAnsi="Arial" w:cs="Arial"/>
          <w:sz w:val="20"/>
          <w:szCs w:val="20"/>
          <w:lang w:val="es-ES" w:eastAsia="fr-FR"/>
        </w:rPr>
        <w:t xml:space="preserve"> internacional</w:t>
      </w:r>
      <w:r w:rsidR="007D5BFB">
        <w:rPr>
          <w:rFonts w:ascii="Arial" w:hAnsi="Arial" w:cs="Arial"/>
          <w:sz w:val="20"/>
          <w:szCs w:val="20"/>
          <w:lang w:val="es-ES" w:eastAsia="fr-FR"/>
        </w:rPr>
        <w:t>es</w:t>
      </w:r>
      <w:r w:rsidR="00964D95" w:rsidRPr="003E130A">
        <w:rPr>
          <w:rFonts w:ascii="Arial" w:hAnsi="Arial" w:cs="Arial"/>
          <w:sz w:val="20"/>
          <w:szCs w:val="20"/>
          <w:lang w:val="es-ES" w:eastAsia="fr-FR"/>
        </w:rPr>
        <w:t>.</w:t>
      </w:r>
    </w:p>
    <w:p w:rsidR="00301877" w:rsidRPr="003E130A" w:rsidRDefault="00301877" w:rsidP="00301877">
      <w:pPr>
        <w:widowControl/>
        <w:autoSpaceDE w:val="0"/>
        <w:autoSpaceDN w:val="0"/>
        <w:adjustRightInd w:val="0"/>
        <w:spacing w:line="276" w:lineRule="auto"/>
        <w:jc w:val="both"/>
        <w:rPr>
          <w:rFonts w:ascii="Arial" w:eastAsia="Calibri" w:hAnsi="Arial" w:cs="Arial"/>
          <w:sz w:val="20"/>
          <w:szCs w:val="20"/>
          <w:lang w:val="es-ES" w:eastAsia="en-US"/>
        </w:rPr>
      </w:pPr>
    </w:p>
    <w:p w:rsidR="00CC52BB" w:rsidRPr="003E130A" w:rsidRDefault="00CC52BB" w:rsidP="00066AAC">
      <w:pPr>
        <w:widowControl/>
        <w:numPr>
          <w:ilvl w:val="0"/>
          <w:numId w:val="16"/>
        </w:numPr>
        <w:autoSpaceDE w:val="0"/>
        <w:autoSpaceDN w:val="0"/>
        <w:adjustRightInd w:val="0"/>
        <w:spacing w:line="276" w:lineRule="auto"/>
        <w:jc w:val="both"/>
        <w:rPr>
          <w:rFonts w:ascii="Arial" w:eastAsia="Calibri" w:hAnsi="Arial" w:cs="Arial"/>
          <w:b/>
          <w:bCs/>
          <w:sz w:val="20"/>
          <w:szCs w:val="20"/>
          <w:lang w:val="fr-FR" w:eastAsia="en-US"/>
        </w:rPr>
      </w:pPr>
      <w:proofErr w:type="spellStart"/>
      <w:r w:rsidRPr="003E130A">
        <w:rPr>
          <w:rFonts w:ascii="Arial" w:eastAsia="Calibri" w:hAnsi="Arial" w:cs="Arial"/>
          <w:b/>
          <w:bCs/>
          <w:sz w:val="20"/>
          <w:szCs w:val="20"/>
          <w:lang w:val="fr-FR" w:eastAsia="en-US"/>
        </w:rPr>
        <w:t>Result</w:t>
      </w:r>
      <w:r w:rsidR="00786E21" w:rsidRPr="003E130A">
        <w:rPr>
          <w:rFonts w:ascii="Arial" w:eastAsia="Calibri" w:hAnsi="Arial" w:cs="Arial"/>
          <w:b/>
          <w:bCs/>
          <w:sz w:val="20"/>
          <w:szCs w:val="20"/>
          <w:lang w:val="fr-FR" w:eastAsia="en-US"/>
        </w:rPr>
        <w:t>ado</w:t>
      </w:r>
      <w:proofErr w:type="spellEnd"/>
    </w:p>
    <w:p w:rsidR="00CC52BB" w:rsidRPr="003E130A" w:rsidRDefault="00CC52BB" w:rsidP="000C5C75">
      <w:pPr>
        <w:widowControl/>
        <w:autoSpaceDE w:val="0"/>
        <w:autoSpaceDN w:val="0"/>
        <w:adjustRightInd w:val="0"/>
        <w:spacing w:line="276" w:lineRule="auto"/>
        <w:jc w:val="both"/>
        <w:rPr>
          <w:rFonts w:ascii="Arial" w:eastAsia="Calibri" w:hAnsi="Arial" w:cs="Arial"/>
          <w:sz w:val="20"/>
          <w:szCs w:val="20"/>
          <w:lang w:val="fr-FR" w:eastAsia="en-US"/>
        </w:rPr>
      </w:pPr>
    </w:p>
    <w:p w:rsidR="00CC52BB" w:rsidRPr="003E130A" w:rsidRDefault="00786E21" w:rsidP="000C5C75">
      <w:pPr>
        <w:pStyle w:val="Prrafodelista"/>
        <w:numPr>
          <w:ilvl w:val="0"/>
          <w:numId w:val="39"/>
        </w:numPr>
        <w:tabs>
          <w:tab w:val="left" w:pos="4090"/>
        </w:tabs>
        <w:suppressAutoHyphens/>
        <w:spacing w:after="0"/>
        <w:ind w:left="850" w:right="-119" w:hanging="357"/>
        <w:rPr>
          <w:rFonts w:ascii="Arial" w:hAnsi="Arial" w:cs="Arial"/>
          <w:bCs/>
          <w:sz w:val="20"/>
          <w:szCs w:val="20"/>
          <w:u w:val="single"/>
        </w:rPr>
      </w:pPr>
      <w:r w:rsidRPr="003E130A">
        <w:rPr>
          <w:rFonts w:ascii="Arial" w:hAnsi="Arial" w:cs="Arial"/>
          <w:bCs/>
          <w:sz w:val="20"/>
          <w:szCs w:val="20"/>
          <w:u w:val="single"/>
        </w:rPr>
        <w:t xml:space="preserve">Ratio </w:t>
      </w:r>
      <w:proofErr w:type="spellStart"/>
      <w:r w:rsidRPr="003E130A">
        <w:rPr>
          <w:rFonts w:ascii="Arial" w:hAnsi="Arial" w:cs="Arial"/>
          <w:bCs/>
          <w:sz w:val="20"/>
          <w:szCs w:val="20"/>
          <w:u w:val="single"/>
        </w:rPr>
        <w:t>c</w:t>
      </w:r>
      <w:r w:rsidR="00CC52BB" w:rsidRPr="003E130A">
        <w:rPr>
          <w:rFonts w:ascii="Arial" w:hAnsi="Arial" w:cs="Arial"/>
          <w:bCs/>
          <w:sz w:val="20"/>
          <w:szCs w:val="20"/>
          <w:u w:val="single"/>
        </w:rPr>
        <w:t>ombin</w:t>
      </w:r>
      <w:r w:rsidR="007D5BFB">
        <w:rPr>
          <w:rFonts w:ascii="Arial" w:hAnsi="Arial" w:cs="Arial"/>
          <w:bCs/>
          <w:sz w:val="20"/>
          <w:szCs w:val="20"/>
          <w:u w:val="single"/>
        </w:rPr>
        <w:t>ado</w:t>
      </w:r>
      <w:proofErr w:type="spellEnd"/>
    </w:p>
    <w:p w:rsidR="00CC52BB" w:rsidRPr="003E130A" w:rsidRDefault="00CC52BB" w:rsidP="00CC52BB">
      <w:pPr>
        <w:tabs>
          <w:tab w:val="left" w:pos="4090"/>
        </w:tabs>
        <w:suppressAutoHyphens/>
        <w:spacing w:line="270" w:lineRule="exact"/>
        <w:ind w:right="-121"/>
        <w:rPr>
          <w:rFonts w:ascii="Arial" w:hAnsi="Arial" w:cs="Arial"/>
          <w:bCs/>
          <w:sz w:val="20"/>
          <w:szCs w:val="20"/>
        </w:rPr>
      </w:pPr>
    </w:p>
    <w:p w:rsidR="00964D95" w:rsidRPr="003E130A" w:rsidRDefault="004F7CDD" w:rsidP="00964D95">
      <w:pPr>
        <w:suppressAutoHyphens/>
        <w:spacing w:after="120" w:line="276" w:lineRule="auto"/>
        <w:jc w:val="both"/>
        <w:rPr>
          <w:rFonts w:ascii="Arial" w:hAnsi="Arial" w:cs="Arial"/>
          <w:sz w:val="20"/>
          <w:szCs w:val="20"/>
          <w:lang w:val="es-ES" w:eastAsia="fr-FR"/>
        </w:rPr>
      </w:pPr>
      <w:r w:rsidRPr="003E130A">
        <w:rPr>
          <w:rFonts w:ascii="Arial" w:hAnsi="Arial" w:cs="Arial"/>
          <w:sz w:val="20"/>
          <w:szCs w:val="20"/>
          <w:lang w:val="es-ES" w:eastAsia="fr-FR"/>
        </w:rPr>
        <w:t xml:space="preserve">El </w:t>
      </w:r>
      <w:proofErr w:type="gramStart"/>
      <w:r w:rsidRPr="003E130A">
        <w:rPr>
          <w:rFonts w:ascii="Arial" w:hAnsi="Arial" w:cs="Arial"/>
          <w:sz w:val="20"/>
          <w:szCs w:val="20"/>
          <w:lang w:val="es-ES" w:eastAsia="fr-FR"/>
        </w:rPr>
        <w:t>ratio combinado</w:t>
      </w:r>
      <w:proofErr w:type="gramEnd"/>
      <w:r w:rsidRPr="003E130A">
        <w:rPr>
          <w:rFonts w:ascii="Arial" w:hAnsi="Arial" w:cs="Arial"/>
          <w:sz w:val="20"/>
          <w:szCs w:val="20"/>
          <w:lang w:val="es-ES" w:eastAsia="fr-FR"/>
        </w:rPr>
        <w:t xml:space="preserve">, neto de reaseguro, se situó en el 85,3% para los nueve primeros meses del año (un aumento de 8,5 puntos porcentuales en un año). El </w:t>
      </w:r>
      <w:proofErr w:type="gramStart"/>
      <w:r w:rsidRPr="003E130A">
        <w:rPr>
          <w:rFonts w:ascii="Arial" w:hAnsi="Arial" w:cs="Arial"/>
          <w:sz w:val="20"/>
          <w:szCs w:val="20"/>
          <w:lang w:val="es-ES" w:eastAsia="fr-FR"/>
        </w:rPr>
        <w:t>ratio combinado</w:t>
      </w:r>
      <w:proofErr w:type="gramEnd"/>
      <w:r w:rsidRPr="003E130A">
        <w:rPr>
          <w:rFonts w:ascii="Arial" w:hAnsi="Arial" w:cs="Arial"/>
          <w:sz w:val="20"/>
          <w:szCs w:val="20"/>
          <w:lang w:val="es-ES" w:eastAsia="fr-FR"/>
        </w:rPr>
        <w:t xml:space="preserve">, neto de reaseguro, para el tercer trimestre de 2020 se situó en el 77,4%, lo que supone una mejora de 0,7 </w:t>
      </w:r>
      <w:proofErr w:type="spellStart"/>
      <w:r w:rsidRPr="003E130A">
        <w:rPr>
          <w:rFonts w:ascii="Arial" w:hAnsi="Arial" w:cs="Arial"/>
          <w:sz w:val="20"/>
          <w:szCs w:val="20"/>
          <w:lang w:val="es-ES" w:eastAsia="fr-FR"/>
        </w:rPr>
        <w:t>ppt</w:t>
      </w:r>
      <w:proofErr w:type="spellEnd"/>
      <w:r w:rsidRPr="003E130A">
        <w:rPr>
          <w:rFonts w:ascii="Arial" w:hAnsi="Arial" w:cs="Arial"/>
          <w:sz w:val="20"/>
          <w:szCs w:val="20"/>
          <w:lang w:val="es-ES" w:eastAsia="fr-FR"/>
        </w:rPr>
        <w:t xml:space="preserve"> respecto al tercer trimestre de 2019. Los planes del gobierno tuvieron un impacto positivo temporal de 6,8 puntos porcentuales en </w:t>
      </w:r>
      <w:proofErr w:type="gramStart"/>
      <w:r w:rsidRPr="003E130A">
        <w:rPr>
          <w:rFonts w:ascii="Arial" w:hAnsi="Arial" w:cs="Arial"/>
          <w:sz w:val="20"/>
          <w:szCs w:val="20"/>
          <w:lang w:val="es-ES" w:eastAsia="fr-FR"/>
        </w:rPr>
        <w:t>el ratio</w:t>
      </w:r>
      <w:proofErr w:type="gramEnd"/>
      <w:r w:rsidRPr="003E130A">
        <w:rPr>
          <w:rFonts w:ascii="Arial" w:hAnsi="Arial" w:cs="Arial"/>
          <w:sz w:val="20"/>
          <w:szCs w:val="20"/>
          <w:lang w:val="es-ES" w:eastAsia="fr-FR"/>
        </w:rPr>
        <w:t xml:space="preserve"> combinado del trimestre</w:t>
      </w:r>
      <w:r w:rsidR="00964D95" w:rsidRPr="003E130A">
        <w:rPr>
          <w:rFonts w:ascii="Arial" w:hAnsi="Arial" w:cs="Arial"/>
          <w:sz w:val="20"/>
          <w:szCs w:val="20"/>
          <w:lang w:val="es-ES" w:eastAsia="fr-FR"/>
        </w:rPr>
        <w:t>.</w:t>
      </w:r>
    </w:p>
    <w:p w:rsidR="00CC52BB" w:rsidRPr="003E130A" w:rsidRDefault="00CC52BB" w:rsidP="00AD281A">
      <w:pPr>
        <w:tabs>
          <w:tab w:val="left" w:pos="4090"/>
        </w:tabs>
        <w:suppressAutoHyphens/>
        <w:spacing w:after="120" w:line="276" w:lineRule="auto"/>
        <w:ind w:left="425" w:right="-119"/>
        <w:rPr>
          <w:rFonts w:ascii="Arial" w:hAnsi="Arial" w:cs="Arial"/>
          <w:bCs/>
          <w:sz w:val="20"/>
          <w:szCs w:val="20"/>
          <w:lang w:val="es-ES"/>
        </w:rPr>
      </w:pPr>
      <w:r w:rsidRPr="003E130A">
        <w:rPr>
          <w:rFonts w:ascii="Arial" w:hAnsi="Arial" w:cs="Arial"/>
          <w:bCs/>
          <w:sz w:val="20"/>
          <w:szCs w:val="20"/>
          <w:lang w:val="es-ES"/>
        </w:rPr>
        <w:t xml:space="preserve">(i) </w:t>
      </w:r>
      <w:proofErr w:type="spellStart"/>
      <w:r w:rsidR="007D5BFB">
        <w:rPr>
          <w:rFonts w:ascii="Arial" w:hAnsi="Arial" w:cs="Arial"/>
          <w:bCs/>
          <w:sz w:val="20"/>
          <w:szCs w:val="20"/>
          <w:lang w:val="es-ES"/>
        </w:rPr>
        <w:t>Loss</w:t>
      </w:r>
      <w:proofErr w:type="spellEnd"/>
      <w:r w:rsidR="007D5BFB">
        <w:rPr>
          <w:rFonts w:ascii="Arial" w:hAnsi="Arial" w:cs="Arial"/>
          <w:bCs/>
          <w:sz w:val="20"/>
          <w:szCs w:val="20"/>
          <w:lang w:val="es-ES"/>
        </w:rPr>
        <w:t xml:space="preserve"> ratio</w:t>
      </w:r>
    </w:p>
    <w:p w:rsidR="004F7CDD" w:rsidRPr="003E130A" w:rsidRDefault="007D5BFB" w:rsidP="004F7CDD">
      <w:pPr>
        <w:suppressAutoHyphens/>
        <w:spacing w:after="120" w:line="276" w:lineRule="auto"/>
        <w:jc w:val="both"/>
        <w:rPr>
          <w:rFonts w:ascii="Arial" w:hAnsi="Arial" w:cs="Arial"/>
          <w:sz w:val="20"/>
          <w:szCs w:val="20"/>
          <w:lang w:val="es-ES" w:eastAsia="fr-FR"/>
        </w:rPr>
      </w:pPr>
      <w:r>
        <w:rPr>
          <w:rFonts w:ascii="Arial" w:hAnsi="Arial" w:cs="Arial"/>
          <w:sz w:val="20"/>
          <w:szCs w:val="20"/>
          <w:lang w:val="es-ES" w:eastAsia="fr-FR"/>
        </w:rPr>
        <w:t xml:space="preserve">El </w:t>
      </w:r>
      <w:proofErr w:type="spellStart"/>
      <w:r>
        <w:rPr>
          <w:rFonts w:ascii="Arial" w:hAnsi="Arial" w:cs="Arial"/>
          <w:sz w:val="20"/>
          <w:szCs w:val="20"/>
          <w:lang w:val="es-ES" w:eastAsia="fr-FR"/>
        </w:rPr>
        <w:t>loss</w:t>
      </w:r>
      <w:proofErr w:type="spellEnd"/>
      <w:r>
        <w:rPr>
          <w:rFonts w:ascii="Arial" w:hAnsi="Arial" w:cs="Arial"/>
          <w:sz w:val="20"/>
          <w:szCs w:val="20"/>
          <w:lang w:val="es-ES" w:eastAsia="fr-FR"/>
        </w:rPr>
        <w:t xml:space="preserve"> ratio bruto</w:t>
      </w:r>
      <w:r w:rsidR="004F7CDD" w:rsidRPr="003E130A">
        <w:rPr>
          <w:rFonts w:ascii="Arial" w:hAnsi="Arial" w:cs="Arial"/>
          <w:sz w:val="20"/>
          <w:szCs w:val="20"/>
          <w:lang w:val="es-ES" w:eastAsia="fr-FR"/>
        </w:rPr>
        <w:t xml:space="preserve"> fue del 57,6% en los primeros nueve meses de 2020, lo que representa un aumento de 15 puntos porcentuales en comparación con el año anterior. El </w:t>
      </w:r>
      <w:proofErr w:type="spellStart"/>
      <w:r>
        <w:rPr>
          <w:rFonts w:ascii="Arial" w:hAnsi="Arial" w:cs="Arial"/>
          <w:sz w:val="20"/>
          <w:szCs w:val="20"/>
          <w:lang w:val="es-ES" w:eastAsia="fr-FR"/>
        </w:rPr>
        <w:t>loss</w:t>
      </w:r>
      <w:proofErr w:type="spellEnd"/>
      <w:r>
        <w:rPr>
          <w:rFonts w:ascii="Arial" w:hAnsi="Arial" w:cs="Arial"/>
          <w:sz w:val="20"/>
          <w:szCs w:val="20"/>
          <w:lang w:val="es-ES" w:eastAsia="fr-FR"/>
        </w:rPr>
        <w:t xml:space="preserve"> ratio bruto</w:t>
      </w:r>
      <w:r w:rsidR="004F7CDD" w:rsidRPr="003E130A">
        <w:rPr>
          <w:rFonts w:ascii="Arial" w:hAnsi="Arial" w:cs="Arial"/>
          <w:sz w:val="20"/>
          <w:szCs w:val="20"/>
          <w:lang w:val="es-ES" w:eastAsia="fr-FR"/>
        </w:rPr>
        <w:t xml:space="preserve"> para el tercer trimestre de 2020 fue del 54,8%, lo que supone una buena mejora en comparación con el trimestre anterior (62,8% para el segundo trimestre de 2020), como se demostró en todas las regiones. Esta mejora refleja las medidas de gestión de riesgos adoptadas por Coface al principio de la crisis, la disminución mecánica de la exposición durante el período de confinamiento y el importante apoyo recibido por las empresas de la mayoría de los gobiernos.</w:t>
      </w:r>
    </w:p>
    <w:p w:rsidR="004F7CDD" w:rsidRPr="003E130A" w:rsidRDefault="004F7CDD" w:rsidP="004F7CDD">
      <w:pPr>
        <w:suppressAutoHyphens/>
        <w:spacing w:after="120" w:line="276" w:lineRule="auto"/>
        <w:jc w:val="both"/>
        <w:rPr>
          <w:rFonts w:ascii="Arial" w:hAnsi="Arial" w:cs="Arial"/>
          <w:sz w:val="20"/>
          <w:szCs w:val="20"/>
          <w:lang w:val="es-ES" w:eastAsia="fr-FR"/>
        </w:rPr>
      </w:pPr>
      <w:r w:rsidRPr="003E130A">
        <w:rPr>
          <w:rFonts w:ascii="Arial" w:hAnsi="Arial" w:cs="Arial"/>
          <w:sz w:val="20"/>
          <w:szCs w:val="20"/>
          <w:lang w:val="es-ES" w:eastAsia="fr-FR"/>
        </w:rPr>
        <w:t xml:space="preserve">La política de reservas del Grupo sigue siendo la misma. La estricta gestión de los siniestros pasados ha permitido al Grupo registrar 33,5 puntos porcentuales de recuperaciones durante los 9 meses anteriores, un nivel superior a la media histórica. La frecuencia de los siniestros ha disminuido y el tercer trimestre del 2020 se ha caracterizado por una ausencia casi total de </w:t>
      </w:r>
      <w:r w:rsidR="007E4CAE">
        <w:rPr>
          <w:rFonts w:ascii="Arial" w:hAnsi="Arial" w:cs="Arial"/>
          <w:sz w:val="20"/>
          <w:szCs w:val="20"/>
          <w:lang w:val="es-ES" w:eastAsia="fr-FR"/>
        </w:rPr>
        <w:t xml:space="preserve">grandes </w:t>
      </w:r>
      <w:r w:rsidRPr="003E130A">
        <w:rPr>
          <w:rFonts w:ascii="Arial" w:hAnsi="Arial" w:cs="Arial"/>
          <w:sz w:val="20"/>
          <w:szCs w:val="20"/>
          <w:lang w:val="es-ES" w:eastAsia="fr-FR"/>
        </w:rPr>
        <w:t>siniestros.</w:t>
      </w:r>
    </w:p>
    <w:p w:rsidR="00912636" w:rsidRPr="003E130A" w:rsidRDefault="007E4CAE" w:rsidP="004F7CDD">
      <w:pPr>
        <w:suppressAutoHyphens/>
        <w:spacing w:after="120" w:line="276" w:lineRule="auto"/>
        <w:jc w:val="both"/>
        <w:rPr>
          <w:rFonts w:ascii="Arial" w:hAnsi="Arial" w:cs="Arial"/>
          <w:sz w:val="20"/>
          <w:szCs w:val="20"/>
          <w:lang w:val="es-ES" w:eastAsia="fr-FR"/>
        </w:rPr>
      </w:pPr>
      <w:r>
        <w:rPr>
          <w:rFonts w:ascii="Arial" w:hAnsi="Arial" w:cs="Arial"/>
          <w:sz w:val="20"/>
          <w:szCs w:val="20"/>
          <w:lang w:val="es-ES" w:eastAsia="fr-FR"/>
        </w:rPr>
        <w:t xml:space="preserve">El </w:t>
      </w:r>
      <w:proofErr w:type="spellStart"/>
      <w:r>
        <w:rPr>
          <w:rFonts w:ascii="Arial" w:hAnsi="Arial" w:cs="Arial"/>
          <w:sz w:val="20"/>
          <w:szCs w:val="20"/>
          <w:lang w:val="es-ES" w:eastAsia="fr-FR"/>
        </w:rPr>
        <w:t>loss</w:t>
      </w:r>
      <w:proofErr w:type="spellEnd"/>
      <w:r>
        <w:rPr>
          <w:rFonts w:ascii="Arial" w:hAnsi="Arial" w:cs="Arial"/>
          <w:sz w:val="20"/>
          <w:szCs w:val="20"/>
          <w:lang w:val="es-ES" w:eastAsia="fr-FR"/>
        </w:rPr>
        <w:t xml:space="preserve"> ratio</w:t>
      </w:r>
      <w:r w:rsidR="004F7CDD" w:rsidRPr="003E130A">
        <w:rPr>
          <w:rFonts w:ascii="Arial" w:hAnsi="Arial" w:cs="Arial"/>
          <w:sz w:val="20"/>
          <w:szCs w:val="20"/>
          <w:lang w:val="es-ES" w:eastAsia="fr-FR"/>
        </w:rPr>
        <w:t xml:space="preserve"> net</w:t>
      </w:r>
      <w:r>
        <w:rPr>
          <w:rFonts w:ascii="Arial" w:hAnsi="Arial" w:cs="Arial"/>
          <w:sz w:val="20"/>
          <w:szCs w:val="20"/>
          <w:lang w:val="es-ES" w:eastAsia="fr-FR"/>
        </w:rPr>
        <w:t>o</w:t>
      </w:r>
      <w:r w:rsidR="004F7CDD" w:rsidRPr="003E130A">
        <w:rPr>
          <w:rFonts w:ascii="Arial" w:hAnsi="Arial" w:cs="Arial"/>
          <w:sz w:val="20"/>
          <w:szCs w:val="20"/>
          <w:lang w:val="es-ES" w:eastAsia="fr-FR"/>
        </w:rPr>
        <w:t xml:space="preserve"> de los 9M-2020 fue del 55,2%, mostrando un claro aumento en comparación </w:t>
      </w:r>
      <w:r w:rsidR="004F7CDD" w:rsidRPr="003E130A">
        <w:rPr>
          <w:rFonts w:ascii="Arial" w:hAnsi="Arial" w:cs="Arial"/>
          <w:sz w:val="20"/>
          <w:szCs w:val="20"/>
          <w:lang w:val="es-ES" w:eastAsia="fr-FR"/>
        </w:rPr>
        <w:lastRenderedPageBreak/>
        <w:t>con los 9M-2019 (45,1%)</w:t>
      </w:r>
      <w:r w:rsidR="00912636" w:rsidRPr="003E130A">
        <w:rPr>
          <w:rFonts w:ascii="Arial" w:hAnsi="Arial" w:cs="Arial"/>
          <w:sz w:val="20"/>
          <w:szCs w:val="20"/>
          <w:lang w:val="es-ES" w:eastAsia="fr-FR"/>
        </w:rPr>
        <w:t>.</w:t>
      </w:r>
    </w:p>
    <w:p w:rsidR="00CC52BB" w:rsidRPr="003E130A" w:rsidRDefault="00CC52BB" w:rsidP="00AD281A">
      <w:pPr>
        <w:tabs>
          <w:tab w:val="left" w:pos="4090"/>
        </w:tabs>
        <w:suppressAutoHyphens/>
        <w:spacing w:after="120" w:line="276" w:lineRule="auto"/>
        <w:ind w:left="425" w:right="-119"/>
        <w:rPr>
          <w:rFonts w:ascii="Arial" w:hAnsi="Arial" w:cs="Arial"/>
          <w:bCs/>
          <w:sz w:val="20"/>
          <w:szCs w:val="20"/>
          <w:lang w:val="es-ES"/>
        </w:rPr>
      </w:pPr>
      <w:r w:rsidRPr="003E130A">
        <w:rPr>
          <w:rFonts w:ascii="Arial" w:hAnsi="Arial" w:cs="Arial"/>
          <w:bCs/>
          <w:sz w:val="20"/>
          <w:szCs w:val="20"/>
          <w:lang w:val="es-ES"/>
        </w:rPr>
        <w:t xml:space="preserve">(ii) </w:t>
      </w:r>
      <w:r w:rsidR="007E4CAE">
        <w:rPr>
          <w:rFonts w:ascii="Arial" w:hAnsi="Arial" w:cs="Arial"/>
          <w:bCs/>
          <w:sz w:val="20"/>
          <w:szCs w:val="20"/>
          <w:lang w:val="es-ES"/>
        </w:rPr>
        <w:t>Ratio de costo</w:t>
      </w:r>
      <w:r w:rsidR="004F7CDD" w:rsidRPr="003E130A">
        <w:rPr>
          <w:rFonts w:ascii="Arial" w:hAnsi="Arial" w:cs="Arial"/>
          <w:bCs/>
          <w:sz w:val="20"/>
          <w:szCs w:val="20"/>
          <w:lang w:val="es-ES"/>
        </w:rPr>
        <w:t>s</w:t>
      </w:r>
    </w:p>
    <w:p w:rsidR="004F7CDD" w:rsidRDefault="004F7CDD" w:rsidP="004F7CDD">
      <w:pPr>
        <w:suppressAutoHyphens/>
        <w:spacing w:line="276" w:lineRule="auto"/>
        <w:jc w:val="both"/>
        <w:rPr>
          <w:rFonts w:ascii="Arial" w:hAnsi="Arial" w:cs="Arial"/>
          <w:sz w:val="20"/>
          <w:szCs w:val="20"/>
          <w:lang w:val="es-ES" w:eastAsia="fr-FR"/>
        </w:rPr>
      </w:pPr>
      <w:r w:rsidRPr="003E130A">
        <w:rPr>
          <w:rFonts w:ascii="Arial" w:hAnsi="Arial" w:cs="Arial"/>
          <w:sz w:val="20"/>
          <w:szCs w:val="20"/>
          <w:lang w:val="es-ES" w:eastAsia="fr-FR"/>
        </w:rPr>
        <w:t>Coface ha continuado con su política de estricto control de costos e inversiones a largo plazo. Durante el tercer trimestre de 2020, los cost</w:t>
      </w:r>
      <w:r w:rsidR="007E4CAE">
        <w:rPr>
          <w:rFonts w:ascii="Arial" w:hAnsi="Arial" w:cs="Arial"/>
          <w:sz w:val="20"/>
          <w:szCs w:val="20"/>
          <w:lang w:val="es-ES" w:eastAsia="fr-FR"/>
        </w:rPr>
        <w:t>o</w:t>
      </w:r>
      <w:r w:rsidRPr="003E130A">
        <w:rPr>
          <w:rFonts w:ascii="Arial" w:hAnsi="Arial" w:cs="Arial"/>
          <w:sz w:val="20"/>
          <w:szCs w:val="20"/>
          <w:lang w:val="es-ES" w:eastAsia="fr-FR"/>
        </w:rPr>
        <w:t>s cayeron un -5,4% a los tipos de cambio actuales y un -2,9% a los tipos de cambio y perímetro constantes. Esta reducción se debe a los contin</w:t>
      </w:r>
      <w:r w:rsidR="007E4CAE">
        <w:rPr>
          <w:rFonts w:ascii="Arial" w:hAnsi="Arial" w:cs="Arial"/>
          <w:sz w:val="20"/>
          <w:szCs w:val="20"/>
          <w:lang w:val="es-ES" w:eastAsia="fr-FR"/>
        </w:rPr>
        <w:t>uos esfuerzos en todos los costo</w:t>
      </w:r>
      <w:r w:rsidRPr="003E130A">
        <w:rPr>
          <w:rFonts w:ascii="Arial" w:hAnsi="Arial" w:cs="Arial"/>
          <w:sz w:val="20"/>
          <w:szCs w:val="20"/>
          <w:lang w:val="es-ES" w:eastAsia="fr-FR"/>
        </w:rPr>
        <w:t>s variables (viajes, comunicaciones y consultores).</w:t>
      </w:r>
    </w:p>
    <w:p w:rsidR="007E4CAE" w:rsidRPr="003E130A" w:rsidRDefault="007E4CAE" w:rsidP="004F7CDD">
      <w:pPr>
        <w:suppressAutoHyphens/>
        <w:spacing w:line="276" w:lineRule="auto"/>
        <w:jc w:val="both"/>
        <w:rPr>
          <w:rFonts w:ascii="Arial" w:hAnsi="Arial" w:cs="Arial"/>
          <w:sz w:val="20"/>
          <w:szCs w:val="20"/>
          <w:lang w:val="es-ES" w:eastAsia="fr-FR"/>
        </w:rPr>
      </w:pPr>
    </w:p>
    <w:p w:rsidR="006F37A7" w:rsidRPr="003E130A" w:rsidRDefault="007E4CAE" w:rsidP="004F7CDD">
      <w:pPr>
        <w:suppressAutoHyphens/>
        <w:spacing w:line="276" w:lineRule="auto"/>
        <w:jc w:val="both"/>
        <w:rPr>
          <w:rFonts w:ascii="Arial" w:hAnsi="Arial" w:cs="Arial"/>
          <w:sz w:val="20"/>
          <w:szCs w:val="20"/>
          <w:lang w:val="es-ES" w:eastAsia="fr-FR"/>
        </w:rPr>
      </w:pPr>
      <w:proofErr w:type="gramStart"/>
      <w:r>
        <w:rPr>
          <w:rFonts w:ascii="Arial" w:hAnsi="Arial" w:cs="Arial"/>
          <w:sz w:val="20"/>
          <w:szCs w:val="20"/>
          <w:lang w:val="es-ES" w:eastAsia="fr-FR"/>
        </w:rPr>
        <w:t>El ratio</w:t>
      </w:r>
      <w:proofErr w:type="gramEnd"/>
      <w:r>
        <w:rPr>
          <w:rFonts w:ascii="Arial" w:hAnsi="Arial" w:cs="Arial"/>
          <w:sz w:val="20"/>
          <w:szCs w:val="20"/>
          <w:lang w:val="es-ES" w:eastAsia="fr-FR"/>
        </w:rPr>
        <w:t xml:space="preserve"> de costo</w:t>
      </w:r>
      <w:r w:rsidR="004F7CDD" w:rsidRPr="003E130A">
        <w:rPr>
          <w:rFonts w:ascii="Arial" w:hAnsi="Arial" w:cs="Arial"/>
          <w:sz w:val="20"/>
          <w:szCs w:val="20"/>
          <w:lang w:val="es-ES" w:eastAsia="fr-FR"/>
        </w:rPr>
        <w:t xml:space="preserve">s neto de reaseguro, fue del 30,1% en los nueve meses, lo que supone una mejora de 1,6 </w:t>
      </w:r>
      <w:proofErr w:type="spellStart"/>
      <w:r w:rsidR="004F7CDD" w:rsidRPr="003E130A">
        <w:rPr>
          <w:rFonts w:ascii="Arial" w:hAnsi="Arial" w:cs="Arial"/>
          <w:sz w:val="20"/>
          <w:szCs w:val="20"/>
          <w:lang w:val="es-ES" w:eastAsia="fr-FR"/>
        </w:rPr>
        <w:t>ppt</w:t>
      </w:r>
      <w:proofErr w:type="spellEnd"/>
      <w:r w:rsidR="004F7CDD" w:rsidRPr="003E130A">
        <w:rPr>
          <w:rFonts w:ascii="Arial" w:hAnsi="Arial" w:cs="Arial"/>
          <w:sz w:val="20"/>
          <w:szCs w:val="20"/>
          <w:lang w:val="es-ES" w:eastAsia="fr-FR"/>
        </w:rPr>
        <w:t xml:space="preserve"> en un </w:t>
      </w:r>
      <w:r>
        <w:rPr>
          <w:rFonts w:ascii="Arial" w:hAnsi="Arial" w:cs="Arial"/>
          <w:sz w:val="20"/>
          <w:szCs w:val="20"/>
          <w:lang w:val="es-ES" w:eastAsia="fr-FR"/>
        </w:rPr>
        <w:t>año, gracias al control de costo</w:t>
      </w:r>
      <w:r w:rsidR="004F7CDD" w:rsidRPr="003E130A">
        <w:rPr>
          <w:rFonts w:ascii="Arial" w:hAnsi="Arial" w:cs="Arial"/>
          <w:sz w:val="20"/>
          <w:szCs w:val="20"/>
          <w:lang w:val="es-ES" w:eastAsia="fr-FR"/>
        </w:rPr>
        <w:t>s y a un alto nivel de comisiones de reaseguro en línea con el aumento de las cesiones (planes gubernamentales en particular)</w:t>
      </w:r>
      <w:r w:rsidR="006F37A7" w:rsidRPr="003E130A">
        <w:rPr>
          <w:rFonts w:ascii="Arial" w:hAnsi="Arial" w:cs="Arial"/>
          <w:sz w:val="20"/>
          <w:szCs w:val="20"/>
          <w:lang w:val="es-ES" w:eastAsia="fr-FR"/>
        </w:rPr>
        <w:t xml:space="preserve">. </w:t>
      </w:r>
    </w:p>
    <w:p w:rsidR="00066AAC" w:rsidRDefault="00066AAC" w:rsidP="00912636">
      <w:pPr>
        <w:widowControl/>
        <w:rPr>
          <w:rFonts w:ascii="Arial" w:hAnsi="Arial" w:cs="Arial"/>
          <w:bCs/>
          <w:sz w:val="20"/>
          <w:szCs w:val="20"/>
          <w:lang w:val="es-ES"/>
        </w:rPr>
      </w:pPr>
    </w:p>
    <w:p w:rsidR="007E4CAE" w:rsidRPr="003E130A" w:rsidRDefault="007E4CAE" w:rsidP="00912636">
      <w:pPr>
        <w:widowControl/>
        <w:rPr>
          <w:rFonts w:ascii="Arial" w:hAnsi="Arial" w:cs="Arial"/>
          <w:bCs/>
          <w:sz w:val="20"/>
          <w:szCs w:val="20"/>
          <w:lang w:val="es-ES"/>
        </w:rPr>
      </w:pPr>
    </w:p>
    <w:p w:rsidR="00CC52BB" w:rsidRPr="003E130A" w:rsidRDefault="004F7CDD" w:rsidP="000C5C75">
      <w:pPr>
        <w:pStyle w:val="Prrafodelista"/>
        <w:numPr>
          <w:ilvl w:val="0"/>
          <w:numId w:val="39"/>
        </w:numPr>
        <w:tabs>
          <w:tab w:val="left" w:pos="4090"/>
        </w:tabs>
        <w:suppressAutoHyphens/>
        <w:spacing w:after="0"/>
        <w:ind w:left="850" w:right="-119" w:hanging="357"/>
        <w:rPr>
          <w:rFonts w:ascii="Arial" w:hAnsi="Arial" w:cs="Arial"/>
          <w:bCs/>
          <w:sz w:val="20"/>
          <w:szCs w:val="20"/>
          <w:u w:val="single"/>
        </w:rPr>
      </w:pPr>
      <w:proofErr w:type="spellStart"/>
      <w:r w:rsidRPr="003E130A">
        <w:rPr>
          <w:rFonts w:ascii="Arial" w:hAnsi="Arial" w:cs="Arial"/>
          <w:bCs/>
          <w:sz w:val="20"/>
          <w:szCs w:val="20"/>
          <w:u w:val="single"/>
        </w:rPr>
        <w:t>Resultados</w:t>
      </w:r>
      <w:proofErr w:type="spellEnd"/>
      <w:r w:rsidRPr="003E130A">
        <w:rPr>
          <w:rFonts w:ascii="Arial" w:hAnsi="Arial" w:cs="Arial"/>
          <w:bCs/>
          <w:sz w:val="20"/>
          <w:szCs w:val="20"/>
          <w:u w:val="single"/>
        </w:rPr>
        <w:t xml:space="preserve"> </w:t>
      </w:r>
      <w:proofErr w:type="spellStart"/>
      <w:r w:rsidRPr="003E130A">
        <w:rPr>
          <w:rFonts w:ascii="Arial" w:hAnsi="Arial" w:cs="Arial"/>
          <w:bCs/>
          <w:sz w:val="20"/>
          <w:szCs w:val="20"/>
          <w:u w:val="single"/>
        </w:rPr>
        <w:t>f</w:t>
      </w:r>
      <w:r w:rsidR="00CC52BB" w:rsidRPr="003E130A">
        <w:rPr>
          <w:rFonts w:ascii="Arial" w:hAnsi="Arial" w:cs="Arial"/>
          <w:bCs/>
          <w:sz w:val="20"/>
          <w:szCs w:val="20"/>
          <w:u w:val="single"/>
        </w:rPr>
        <w:t>inanci</w:t>
      </w:r>
      <w:r w:rsidRPr="003E130A">
        <w:rPr>
          <w:rFonts w:ascii="Arial" w:hAnsi="Arial" w:cs="Arial"/>
          <w:bCs/>
          <w:sz w:val="20"/>
          <w:szCs w:val="20"/>
          <w:u w:val="single"/>
        </w:rPr>
        <w:t>eros</w:t>
      </w:r>
      <w:proofErr w:type="spellEnd"/>
    </w:p>
    <w:p w:rsidR="00CC52BB" w:rsidRPr="003E130A" w:rsidRDefault="00CC52BB" w:rsidP="00CC52BB">
      <w:pPr>
        <w:tabs>
          <w:tab w:val="left" w:pos="4090"/>
        </w:tabs>
        <w:suppressAutoHyphens/>
        <w:spacing w:line="270" w:lineRule="exact"/>
        <w:ind w:right="-121"/>
        <w:rPr>
          <w:rFonts w:ascii="Arial" w:hAnsi="Arial" w:cs="Arial"/>
          <w:bCs/>
          <w:sz w:val="20"/>
          <w:szCs w:val="20"/>
        </w:rPr>
      </w:pPr>
    </w:p>
    <w:p w:rsidR="004F7CDD" w:rsidRPr="003E130A" w:rsidRDefault="004F7CDD" w:rsidP="004F7CDD">
      <w:pPr>
        <w:widowControl/>
        <w:spacing w:after="120" w:line="276" w:lineRule="auto"/>
        <w:jc w:val="both"/>
        <w:rPr>
          <w:rFonts w:ascii="Arial" w:hAnsi="Arial" w:cs="Arial"/>
          <w:sz w:val="20"/>
          <w:szCs w:val="20"/>
          <w:lang w:val="es-ES" w:eastAsia="fr-FR"/>
        </w:rPr>
      </w:pPr>
      <w:r w:rsidRPr="003E130A">
        <w:rPr>
          <w:rFonts w:ascii="Arial" w:hAnsi="Arial" w:cs="Arial"/>
          <w:sz w:val="20"/>
          <w:szCs w:val="20"/>
          <w:lang w:val="es-ES" w:eastAsia="fr-FR"/>
        </w:rPr>
        <w:t xml:space="preserve">Los ingresos financieros netos de los nueve meses fueron de 23,5 millones de euros, de los cuales 0,6 millones de euros de plusvalías netas realizadas y un efecto </w:t>
      </w:r>
      <w:r w:rsidR="001D7E5F">
        <w:rPr>
          <w:rFonts w:ascii="Arial" w:hAnsi="Arial" w:cs="Arial"/>
          <w:sz w:val="20"/>
          <w:szCs w:val="20"/>
          <w:lang w:val="es-ES" w:eastAsia="fr-FR"/>
        </w:rPr>
        <w:t>de tipo de cambio</w:t>
      </w:r>
      <w:r w:rsidRPr="003E130A">
        <w:rPr>
          <w:rFonts w:ascii="Arial" w:hAnsi="Arial" w:cs="Arial"/>
          <w:sz w:val="20"/>
          <w:szCs w:val="20"/>
          <w:lang w:val="es-ES" w:eastAsia="fr-FR"/>
        </w:rPr>
        <w:t xml:space="preserve"> negativo de -2,0 millones de euros. Esta cifra es claramente inferior a la del año anterior, que se benefició de una ganancia cambiaria positiva de 4 millones de euros registrada en 9M-2019. </w:t>
      </w:r>
    </w:p>
    <w:p w:rsidR="004F7CDD" w:rsidRPr="003E130A" w:rsidRDefault="004F7CDD" w:rsidP="004F7CDD">
      <w:pPr>
        <w:widowControl/>
        <w:spacing w:after="120" w:line="276" w:lineRule="auto"/>
        <w:jc w:val="both"/>
        <w:rPr>
          <w:rFonts w:ascii="Arial" w:hAnsi="Arial" w:cs="Arial"/>
          <w:sz w:val="20"/>
          <w:szCs w:val="20"/>
          <w:lang w:val="es-ES" w:eastAsia="fr-FR"/>
        </w:rPr>
      </w:pPr>
      <w:r w:rsidRPr="003E130A">
        <w:rPr>
          <w:rFonts w:ascii="Arial" w:hAnsi="Arial" w:cs="Arial"/>
          <w:sz w:val="20"/>
          <w:szCs w:val="20"/>
          <w:lang w:val="es-ES" w:eastAsia="fr-FR"/>
        </w:rPr>
        <w:t>A pesar de un entorno todavía marcado por t</w:t>
      </w:r>
      <w:r w:rsidR="001D7E5F">
        <w:rPr>
          <w:rFonts w:ascii="Arial" w:hAnsi="Arial" w:cs="Arial"/>
          <w:sz w:val="20"/>
          <w:szCs w:val="20"/>
          <w:lang w:val="es-ES" w:eastAsia="fr-FR"/>
        </w:rPr>
        <w:t>asas</w:t>
      </w:r>
      <w:r w:rsidRPr="003E130A">
        <w:rPr>
          <w:rFonts w:ascii="Arial" w:hAnsi="Arial" w:cs="Arial"/>
          <w:sz w:val="20"/>
          <w:szCs w:val="20"/>
          <w:lang w:val="es-ES" w:eastAsia="fr-FR"/>
        </w:rPr>
        <w:t xml:space="preserve"> de interés históricamente baj</w:t>
      </w:r>
      <w:r w:rsidR="001D7E5F">
        <w:rPr>
          <w:rFonts w:ascii="Arial" w:hAnsi="Arial" w:cs="Arial"/>
          <w:sz w:val="20"/>
          <w:szCs w:val="20"/>
          <w:lang w:val="es-ES" w:eastAsia="fr-FR"/>
        </w:rPr>
        <w:t>a</w:t>
      </w:r>
      <w:r w:rsidRPr="003E130A">
        <w:rPr>
          <w:rFonts w:ascii="Arial" w:hAnsi="Arial" w:cs="Arial"/>
          <w:sz w:val="20"/>
          <w:szCs w:val="20"/>
          <w:lang w:val="es-ES" w:eastAsia="fr-FR"/>
        </w:rPr>
        <w:t>s, la fuerte reducción de la proporción de activos de riesgo se tradujo en una disminución del rendimiento recurrente de la cartera (es decir, excluyendo las plusvalías, las depreciaciones y los efectos de las divisas) que registró 25,8 millones de euros (frente a los 32,6 millones de euros de los 9M 2019). El rendimiento contable, excluyendo las plusvalías, fue del 0,9% en 2020, inferior al del año anterior (1,2%).</w:t>
      </w:r>
    </w:p>
    <w:p w:rsidR="00A21273" w:rsidRPr="003E130A" w:rsidRDefault="004F7CDD" w:rsidP="004F7CDD">
      <w:pPr>
        <w:widowControl/>
        <w:spacing w:after="120" w:line="276" w:lineRule="auto"/>
        <w:jc w:val="both"/>
        <w:rPr>
          <w:rFonts w:ascii="Arial" w:hAnsi="Arial" w:cs="Arial"/>
          <w:sz w:val="20"/>
          <w:szCs w:val="20"/>
          <w:lang w:val="es-ES" w:eastAsia="fr-FR"/>
        </w:rPr>
      </w:pPr>
      <w:r w:rsidRPr="003E130A">
        <w:rPr>
          <w:rFonts w:ascii="Arial" w:hAnsi="Arial" w:cs="Arial"/>
          <w:sz w:val="20"/>
          <w:szCs w:val="20"/>
          <w:lang w:val="es-ES" w:eastAsia="fr-FR"/>
        </w:rPr>
        <w:t xml:space="preserve">Durante las últimas semanas, Coface ha ido reduciendo progresivamente la parte de liquidez de la cartera, en 7 puntos porcentuales menos, pero </w:t>
      </w:r>
      <w:proofErr w:type="spellStart"/>
      <w:r w:rsidRPr="003E130A">
        <w:rPr>
          <w:rFonts w:ascii="Arial" w:hAnsi="Arial" w:cs="Arial"/>
          <w:sz w:val="20"/>
          <w:szCs w:val="20"/>
          <w:lang w:val="es-ES" w:eastAsia="fr-FR"/>
        </w:rPr>
        <w:t>aún</w:t>
      </w:r>
      <w:proofErr w:type="spellEnd"/>
      <w:r w:rsidRPr="003E130A">
        <w:rPr>
          <w:rFonts w:ascii="Arial" w:hAnsi="Arial" w:cs="Arial"/>
          <w:sz w:val="20"/>
          <w:szCs w:val="20"/>
          <w:lang w:val="es-ES" w:eastAsia="fr-FR"/>
        </w:rPr>
        <w:t xml:space="preserve"> así por encima de su objetivo a largo plazo</w:t>
      </w:r>
      <w:r w:rsidR="00A21273" w:rsidRPr="003E130A">
        <w:rPr>
          <w:rFonts w:ascii="Arial" w:hAnsi="Arial" w:cs="Arial"/>
          <w:sz w:val="20"/>
          <w:szCs w:val="20"/>
          <w:lang w:val="es-ES" w:eastAsia="fr-FR"/>
        </w:rPr>
        <w:t>.</w:t>
      </w:r>
    </w:p>
    <w:p w:rsidR="003532EB" w:rsidRPr="003E130A" w:rsidRDefault="003532EB" w:rsidP="003532EB">
      <w:pPr>
        <w:tabs>
          <w:tab w:val="left" w:pos="4090"/>
        </w:tabs>
        <w:suppressAutoHyphens/>
        <w:spacing w:line="270" w:lineRule="exact"/>
        <w:ind w:right="-121"/>
        <w:rPr>
          <w:rFonts w:ascii="Arial" w:hAnsi="Arial" w:cs="Arial"/>
          <w:bCs/>
          <w:sz w:val="20"/>
          <w:szCs w:val="20"/>
          <w:lang w:val="es-ES"/>
        </w:rPr>
      </w:pPr>
    </w:p>
    <w:p w:rsidR="00CC52BB" w:rsidRPr="003E130A" w:rsidRDefault="004F7CDD" w:rsidP="004F7CDD">
      <w:pPr>
        <w:pStyle w:val="Prrafodelista"/>
        <w:numPr>
          <w:ilvl w:val="0"/>
          <w:numId w:val="39"/>
        </w:numPr>
        <w:tabs>
          <w:tab w:val="left" w:pos="4090"/>
        </w:tabs>
        <w:suppressAutoHyphens/>
        <w:spacing w:after="0"/>
        <w:ind w:right="-119"/>
        <w:rPr>
          <w:rFonts w:ascii="Arial" w:hAnsi="Arial" w:cs="Arial"/>
          <w:bCs/>
          <w:sz w:val="20"/>
          <w:szCs w:val="20"/>
          <w:u w:val="single"/>
        </w:rPr>
      </w:pPr>
      <w:proofErr w:type="spellStart"/>
      <w:r w:rsidRPr="003E130A">
        <w:rPr>
          <w:rFonts w:ascii="Arial" w:hAnsi="Arial" w:cs="Arial"/>
          <w:bCs/>
          <w:sz w:val="20"/>
          <w:szCs w:val="20"/>
          <w:u w:val="single"/>
        </w:rPr>
        <w:t>Ingresos</w:t>
      </w:r>
      <w:proofErr w:type="spellEnd"/>
      <w:r w:rsidRPr="003E130A">
        <w:rPr>
          <w:rFonts w:ascii="Arial" w:hAnsi="Arial" w:cs="Arial"/>
          <w:bCs/>
          <w:sz w:val="20"/>
          <w:szCs w:val="20"/>
          <w:u w:val="single"/>
        </w:rPr>
        <w:t xml:space="preserve"> </w:t>
      </w:r>
      <w:proofErr w:type="spellStart"/>
      <w:r w:rsidRPr="003E130A">
        <w:rPr>
          <w:rFonts w:ascii="Arial" w:hAnsi="Arial" w:cs="Arial"/>
          <w:bCs/>
          <w:sz w:val="20"/>
          <w:szCs w:val="20"/>
          <w:u w:val="single"/>
        </w:rPr>
        <w:t>operacionales</w:t>
      </w:r>
      <w:proofErr w:type="spellEnd"/>
      <w:r w:rsidRPr="003E130A">
        <w:rPr>
          <w:rFonts w:ascii="Arial" w:hAnsi="Arial" w:cs="Arial"/>
          <w:bCs/>
          <w:sz w:val="20"/>
          <w:szCs w:val="20"/>
          <w:u w:val="single"/>
        </w:rPr>
        <w:t xml:space="preserve"> y </w:t>
      </w:r>
      <w:proofErr w:type="spellStart"/>
      <w:r w:rsidRPr="003E130A">
        <w:rPr>
          <w:rFonts w:ascii="Arial" w:hAnsi="Arial" w:cs="Arial"/>
          <w:bCs/>
          <w:sz w:val="20"/>
          <w:szCs w:val="20"/>
          <w:u w:val="single"/>
        </w:rPr>
        <w:t>netos</w:t>
      </w:r>
      <w:proofErr w:type="spellEnd"/>
    </w:p>
    <w:p w:rsidR="00CC52BB" w:rsidRPr="003E130A" w:rsidRDefault="00CC52BB" w:rsidP="00CC52BB">
      <w:pPr>
        <w:tabs>
          <w:tab w:val="left" w:pos="4090"/>
        </w:tabs>
        <w:suppressAutoHyphens/>
        <w:spacing w:line="270" w:lineRule="exact"/>
        <w:ind w:right="-121"/>
        <w:rPr>
          <w:rFonts w:ascii="Arial" w:hAnsi="Arial" w:cs="Arial"/>
          <w:bCs/>
          <w:sz w:val="20"/>
          <w:szCs w:val="20"/>
        </w:rPr>
      </w:pPr>
    </w:p>
    <w:p w:rsidR="004F7CDD" w:rsidRPr="003E130A" w:rsidRDefault="004F7CDD" w:rsidP="004F7CDD">
      <w:pPr>
        <w:suppressAutoHyphens/>
        <w:spacing w:after="120" w:line="276" w:lineRule="auto"/>
        <w:jc w:val="both"/>
        <w:rPr>
          <w:rFonts w:ascii="Arial" w:eastAsia="Calibri" w:hAnsi="Arial" w:cs="Arial"/>
          <w:sz w:val="20"/>
          <w:szCs w:val="20"/>
          <w:lang w:val="es-ES" w:eastAsia="fr-FR"/>
        </w:rPr>
      </w:pPr>
      <w:r w:rsidRPr="003E130A">
        <w:rPr>
          <w:rFonts w:ascii="Arial" w:eastAsia="Calibri" w:hAnsi="Arial" w:cs="Arial"/>
          <w:sz w:val="20"/>
          <w:szCs w:val="20"/>
          <w:lang w:val="es-ES" w:eastAsia="fr-FR"/>
        </w:rPr>
        <w:t xml:space="preserve">Los ingresos de explotación desde principios de año fueron de 98,1 millones de euros, lo que supone un descenso del -43,7% respecto al año anterior. Se benefició en 7 millones de euros del impacto positivo de los planes gubernamentales. En el tercer trimestre de 2020, este impacto fue negativo en -1 millón de euros. </w:t>
      </w:r>
    </w:p>
    <w:p w:rsidR="004F7CDD" w:rsidRPr="003E130A" w:rsidRDefault="004F7CDD" w:rsidP="004F7CDD">
      <w:pPr>
        <w:suppressAutoHyphens/>
        <w:spacing w:after="120" w:line="276" w:lineRule="auto"/>
        <w:jc w:val="both"/>
        <w:rPr>
          <w:rFonts w:ascii="Arial" w:eastAsia="Calibri" w:hAnsi="Arial" w:cs="Arial"/>
          <w:sz w:val="20"/>
          <w:szCs w:val="20"/>
          <w:lang w:val="es-ES" w:eastAsia="fr-FR"/>
        </w:rPr>
      </w:pPr>
      <w:r w:rsidRPr="003E130A">
        <w:rPr>
          <w:rFonts w:ascii="Arial" w:eastAsia="Calibri" w:hAnsi="Arial" w:cs="Arial"/>
          <w:sz w:val="20"/>
          <w:szCs w:val="20"/>
          <w:lang w:val="es-ES" w:eastAsia="fr-FR"/>
        </w:rPr>
        <w:t>La tasa impositiva efectiva aumentó al 44%, en comparación con el 28% para el 9M-2019.</w:t>
      </w:r>
    </w:p>
    <w:p w:rsidR="00A21273" w:rsidRPr="003E130A" w:rsidRDefault="004F7CDD" w:rsidP="004F7CDD">
      <w:pPr>
        <w:suppressAutoHyphens/>
        <w:spacing w:after="120" w:line="276" w:lineRule="auto"/>
        <w:jc w:val="both"/>
        <w:rPr>
          <w:rFonts w:ascii="Arial" w:eastAsia="Calibri" w:hAnsi="Arial" w:cs="Arial"/>
          <w:sz w:val="20"/>
          <w:szCs w:val="20"/>
          <w:lang w:val="es-ES" w:eastAsia="fr-FR"/>
        </w:rPr>
      </w:pPr>
      <w:r w:rsidRPr="003E130A">
        <w:rPr>
          <w:rFonts w:ascii="Arial" w:eastAsia="Calibri" w:hAnsi="Arial" w:cs="Arial"/>
          <w:sz w:val="20"/>
          <w:szCs w:val="20"/>
          <w:lang w:val="es-ES" w:eastAsia="fr-FR"/>
        </w:rPr>
        <w:t>En total, el beneficio neto (participación del grupo) fue de 52,4 millones de euros, de los cuales 28,5 millones de euros fueron en el T3-2020. Los ingresos netos se beneficiaron del impacto positivo no recurrente (beneficio de adquisición*) relacionado con la adquisición de Coface GK en Noruega por un importe de 8,9 millones de euros, en línea con las expectativas</w:t>
      </w:r>
      <w:r w:rsidR="006A493A" w:rsidRPr="003E130A">
        <w:rPr>
          <w:rFonts w:ascii="Arial" w:eastAsia="Calibri" w:hAnsi="Arial" w:cs="Arial"/>
          <w:sz w:val="20"/>
          <w:szCs w:val="20"/>
          <w:lang w:val="es-ES" w:eastAsia="fr-FR"/>
        </w:rPr>
        <w:t>.</w:t>
      </w:r>
    </w:p>
    <w:p w:rsidR="007E4CAE" w:rsidRPr="003E130A" w:rsidRDefault="007E4CAE" w:rsidP="000C5C75">
      <w:pPr>
        <w:widowControl/>
        <w:autoSpaceDE w:val="0"/>
        <w:autoSpaceDN w:val="0"/>
        <w:adjustRightInd w:val="0"/>
        <w:spacing w:line="276" w:lineRule="auto"/>
        <w:jc w:val="both"/>
        <w:rPr>
          <w:rFonts w:ascii="Arial" w:eastAsia="Calibri" w:hAnsi="Arial" w:cs="Arial"/>
          <w:sz w:val="20"/>
          <w:szCs w:val="20"/>
          <w:lang w:val="es-ES" w:eastAsia="en-US"/>
        </w:rPr>
      </w:pPr>
    </w:p>
    <w:p w:rsidR="00CC52BB" w:rsidRPr="003E130A" w:rsidRDefault="004F7CDD" w:rsidP="004F7CDD">
      <w:pPr>
        <w:widowControl/>
        <w:numPr>
          <w:ilvl w:val="0"/>
          <w:numId w:val="16"/>
        </w:numPr>
        <w:autoSpaceDE w:val="0"/>
        <w:autoSpaceDN w:val="0"/>
        <w:adjustRightInd w:val="0"/>
        <w:spacing w:line="276" w:lineRule="auto"/>
        <w:jc w:val="both"/>
        <w:rPr>
          <w:rFonts w:ascii="Arial" w:eastAsia="Calibri" w:hAnsi="Arial" w:cs="Arial"/>
          <w:b/>
          <w:bCs/>
          <w:sz w:val="20"/>
          <w:szCs w:val="20"/>
          <w:lang w:val="fr-FR" w:eastAsia="en-US"/>
        </w:rPr>
      </w:pPr>
      <w:r w:rsidRPr="003E130A">
        <w:rPr>
          <w:rFonts w:ascii="Arial" w:eastAsia="Calibri" w:hAnsi="Arial" w:cs="Arial"/>
          <w:b/>
          <w:bCs/>
          <w:sz w:val="20"/>
          <w:szCs w:val="20"/>
          <w:lang w:val="fr-FR" w:eastAsia="en-US"/>
        </w:rPr>
        <w:t xml:space="preserve">Capital de los </w:t>
      </w:r>
      <w:proofErr w:type="spellStart"/>
      <w:r w:rsidRPr="003E130A">
        <w:rPr>
          <w:rFonts w:ascii="Arial" w:eastAsia="Calibri" w:hAnsi="Arial" w:cs="Arial"/>
          <w:b/>
          <w:bCs/>
          <w:sz w:val="20"/>
          <w:szCs w:val="20"/>
          <w:lang w:val="fr-FR" w:eastAsia="en-US"/>
        </w:rPr>
        <w:t>accionistas</w:t>
      </w:r>
      <w:proofErr w:type="spellEnd"/>
    </w:p>
    <w:p w:rsidR="00CC52BB" w:rsidRPr="003E130A" w:rsidRDefault="00CC52BB" w:rsidP="000C5C75">
      <w:pPr>
        <w:widowControl/>
        <w:autoSpaceDE w:val="0"/>
        <w:autoSpaceDN w:val="0"/>
        <w:adjustRightInd w:val="0"/>
        <w:spacing w:line="276" w:lineRule="auto"/>
        <w:jc w:val="both"/>
        <w:rPr>
          <w:rFonts w:ascii="Arial" w:eastAsia="Calibri" w:hAnsi="Arial" w:cs="Arial"/>
          <w:sz w:val="20"/>
          <w:szCs w:val="20"/>
          <w:lang w:val="fr-FR" w:eastAsia="en-US"/>
        </w:rPr>
      </w:pPr>
    </w:p>
    <w:p w:rsidR="004F7CDD" w:rsidRPr="003E130A" w:rsidRDefault="004F7CDD" w:rsidP="004F7CDD">
      <w:pPr>
        <w:suppressAutoHyphens/>
        <w:spacing w:after="120" w:line="276" w:lineRule="auto"/>
        <w:jc w:val="both"/>
        <w:rPr>
          <w:rFonts w:ascii="Arial" w:eastAsia="Calibri" w:hAnsi="Arial" w:cs="Arial"/>
          <w:sz w:val="20"/>
          <w:szCs w:val="20"/>
          <w:lang w:val="es-ES" w:eastAsia="fr-FR"/>
        </w:rPr>
      </w:pPr>
      <w:r w:rsidRPr="003E130A">
        <w:rPr>
          <w:rFonts w:ascii="Arial" w:eastAsia="Calibri" w:hAnsi="Arial" w:cs="Arial"/>
          <w:sz w:val="20"/>
          <w:szCs w:val="20"/>
          <w:lang w:val="es-ES" w:eastAsia="fr-FR"/>
        </w:rPr>
        <w:t>A</w:t>
      </w:r>
      <w:r w:rsidR="001D7E5F">
        <w:rPr>
          <w:rFonts w:ascii="Arial" w:eastAsia="Calibri" w:hAnsi="Arial" w:cs="Arial"/>
          <w:sz w:val="20"/>
          <w:szCs w:val="20"/>
          <w:lang w:val="es-ES" w:eastAsia="fr-FR"/>
        </w:rPr>
        <w:t>l</w:t>
      </w:r>
      <w:r w:rsidRPr="003E130A">
        <w:rPr>
          <w:rFonts w:ascii="Arial" w:eastAsia="Calibri" w:hAnsi="Arial" w:cs="Arial"/>
          <w:sz w:val="20"/>
          <w:szCs w:val="20"/>
          <w:lang w:val="es-ES" w:eastAsia="fr-FR"/>
        </w:rPr>
        <w:t xml:space="preserve"> 30 de septiembre de 2020, los fondos propios totales ascendían a 1.946,2 millones de euros, lo que supone un aumento de 21,5 millones de euros o del 1,1% (frente a los 1.924,7 millones </w:t>
      </w:r>
      <w:r w:rsidRPr="003E130A">
        <w:rPr>
          <w:rFonts w:ascii="Arial" w:eastAsia="Calibri" w:hAnsi="Arial" w:cs="Arial"/>
          <w:sz w:val="20"/>
          <w:szCs w:val="20"/>
          <w:lang w:val="es-ES" w:eastAsia="fr-FR"/>
        </w:rPr>
        <w:lastRenderedPageBreak/>
        <w:t>de euros a 31 de diciembre de 2019).</w:t>
      </w:r>
    </w:p>
    <w:p w:rsidR="004F7CDD" w:rsidRPr="003E130A" w:rsidRDefault="004F7CDD" w:rsidP="004F7CDD">
      <w:pPr>
        <w:suppressAutoHyphens/>
        <w:spacing w:after="120" w:line="276" w:lineRule="auto"/>
        <w:jc w:val="both"/>
        <w:rPr>
          <w:rFonts w:ascii="Arial" w:eastAsia="Calibri" w:hAnsi="Arial" w:cs="Arial"/>
          <w:sz w:val="20"/>
          <w:szCs w:val="20"/>
          <w:lang w:val="es-ES" w:eastAsia="fr-FR"/>
        </w:rPr>
      </w:pPr>
      <w:r w:rsidRPr="003E130A">
        <w:rPr>
          <w:rFonts w:ascii="Arial" w:eastAsia="Calibri" w:hAnsi="Arial" w:cs="Arial"/>
          <w:sz w:val="20"/>
          <w:szCs w:val="20"/>
          <w:lang w:val="es-ES" w:eastAsia="fr-FR"/>
        </w:rPr>
        <w:t>Esta variación se debe principalmente al beneficio neto positivo de 52,4 millones de euros, que se compensa parcialmente con los ajustes monetarios negativos (-24,2 millones de euros).</w:t>
      </w:r>
    </w:p>
    <w:p w:rsidR="006A493A" w:rsidRPr="003E130A" w:rsidRDefault="004F7CDD" w:rsidP="004F7CDD">
      <w:pPr>
        <w:suppressAutoHyphens/>
        <w:spacing w:after="120" w:line="276" w:lineRule="auto"/>
        <w:jc w:val="both"/>
        <w:rPr>
          <w:rFonts w:ascii="Arial" w:eastAsia="Calibri" w:hAnsi="Arial" w:cs="Arial"/>
          <w:sz w:val="20"/>
          <w:szCs w:val="20"/>
          <w:lang w:val="es-ES" w:eastAsia="fr-FR"/>
        </w:rPr>
      </w:pPr>
      <w:r w:rsidRPr="003E130A">
        <w:rPr>
          <w:rFonts w:ascii="Arial" w:eastAsia="Calibri" w:hAnsi="Arial" w:cs="Arial"/>
          <w:sz w:val="20"/>
          <w:szCs w:val="20"/>
          <w:lang w:val="es-ES" w:eastAsia="fr-FR"/>
        </w:rPr>
        <w:t>La rentabilidad media anualizada de los fondos propios materiales (</w:t>
      </w:r>
      <w:proofErr w:type="spellStart"/>
      <w:r w:rsidRPr="003E130A">
        <w:rPr>
          <w:rFonts w:ascii="Arial" w:eastAsia="Calibri" w:hAnsi="Arial" w:cs="Arial"/>
          <w:sz w:val="20"/>
          <w:szCs w:val="20"/>
          <w:lang w:val="es-ES" w:eastAsia="fr-FR"/>
        </w:rPr>
        <w:t>RoATE</w:t>
      </w:r>
      <w:proofErr w:type="spellEnd"/>
      <w:r w:rsidRPr="003E130A">
        <w:rPr>
          <w:rFonts w:ascii="Arial" w:eastAsia="Calibri" w:hAnsi="Arial" w:cs="Arial"/>
          <w:sz w:val="20"/>
          <w:szCs w:val="20"/>
          <w:lang w:val="es-ES" w:eastAsia="fr-FR"/>
        </w:rPr>
        <w:t>) se sitúa en el 4,1% a</w:t>
      </w:r>
      <w:r w:rsidR="001D7E5F">
        <w:rPr>
          <w:rFonts w:ascii="Arial" w:eastAsia="Calibri" w:hAnsi="Arial" w:cs="Arial"/>
          <w:sz w:val="20"/>
          <w:szCs w:val="20"/>
          <w:lang w:val="es-ES" w:eastAsia="fr-FR"/>
        </w:rPr>
        <w:t>l</w:t>
      </w:r>
      <w:r w:rsidRPr="003E130A">
        <w:rPr>
          <w:rFonts w:ascii="Arial" w:eastAsia="Calibri" w:hAnsi="Arial" w:cs="Arial"/>
          <w:sz w:val="20"/>
          <w:szCs w:val="20"/>
          <w:lang w:val="es-ES" w:eastAsia="fr-FR"/>
        </w:rPr>
        <w:t xml:space="preserve"> 30 de septiembre de 2020</w:t>
      </w:r>
      <w:r w:rsidR="006A493A" w:rsidRPr="003E130A">
        <w:rPr>
          <w:rFonts w:ascii="Arial" w:eastAsia="Calibri" w:hAnsi="Arial" w:cs="Arial"/>
          <w:sz w:val="20"/>
          <w:szCs w:val="20"/>
          <w:lang w:val="es-ES" w:eastAsia="fr-FR"/>
        </w:rPr>
        <w:t>.</w:t>
      </w:r>
    </w:p>
    <w:p w:rsidR="00EC73F7" w:rsidRPr="003E130A" w:rsidRDefault="00EC73F7">
      <w:pPr>
        <w:widowControl/>
        <w:rPr>
          <w:rFonts w:ascii="Arial" w:hAnsi="Arial" w:cs="Arial"/>
          <w:b/>
          <w:bCs/>
          <w:sz w:val="20"/>
          <w:szCs w:val="20"/>
          <w:lang w:val="es-ES"/>
        </w:rPr>
      </w:pPr>
    </w:p>
    <w:p w:rsidR="00CC52BB" w:rsidRPr="003E130A" w:rsidRDefault="004F7CDD" w:rsidP="00066AAC">
      <w:pPr>
        <w:widowControl/>
        <w:numPr>
          <w:ilvl w:val="0"/>
          <w:numId w:val="16"/>
        </w:numPr>
        <w:autoSpaceDE w:val="0"/>
        <w:autoSpaceDN w:val="0"/>
        <w:adjustRightInd w:val="0"/>
        <w:spacing w:line="276" w:lineRule="auto"/>
        <w:jc w:val="both"/>
        <w:rPr>
          <w:rFonts w:ascii="Arial" w:eastAsia="Calibri" w:hAnsi="Arial" w:cs="Arial"/>
          <w:b/>
          <w:bCs/>
          <w:sz w:val="20"/>
          <w:szCs w:val="20"/>
          <w:lang w:val="fr-FR" w:eastAsia="en-US"/>
        </w:rPr>
      </w:pPr>
      <w:proofErr w:type="spellStart"/>
      <w:r w:rsidRPr="003E130A">
        <w:rPr>
          <w:rFonts w:ascii="Arial" w:eastAsia="Calibri" w:hAnsi="Arial" w:cs="Arial"/>
          <w:b/>
          <w:bCs/>
          <w:sz w:val="20"/>
          <w:szCs w:val="20"/>
          <w:lang w:val="fr-FR" w:eastAsia="en-US"/>
        </w:rPr>
        <w:t>Pronóstico</w:t>
      </w:r>
      <w:proofErr w:type="spellEnd"/>
    </w:p>
    <w:p w:rsidR="000C5C75" w:rsidRPr="003E130A" w:rsidRDefault="000C5C75" w:rsidP="000C5C75">
      <w:pPr>
        <w:widowControl/>
        <w:autoSpaceDE w:val="0"/>
        <w:autoSpaceDN w:val="0"/>
        <w:adjustRightInd w:val="0"/>
        <w:spacing w:line="276" w:lineRule="auto"/>
        <w:jc w:val="both"/>
        <w:rPr>
          <w:rFonts w:ascii="Arial" w:eastAsia="Calibri" w:hAnsi="Arial" w:cs="Arial"/>
          <w:sz w:val="20"/>
          <w:szCs w:val="20"/>
          <w:lang w:val="fr-FR" w:eastAsia="en-US"/>
        </w:rPr>
      </w:pPr>
    </w:p>
    <w:p w:rsidR="004F7CDD" w:rsidRPr="003E130A" w:rsidRDefault="004F7CDD" w:rsidP="004F7CDD">
      <w:pPr>
        <w:widowControl/>
        <w:autoSpaceDE w:val="0"/>
        <w:autoSpaceDN w:val="0"/>
        <w:adjustRightInd w:val="0"/>
        <w:spacing w:after="120" w:line="276" w:lineRule="auto"/>
        <w:jc w:val="both"/>
        <w:rPr>
          <w:rFonts w:ascii="Arial" w:eastAsia="Calibri" w:hAnsi="Arial" w:cs="Arial"/>
          <w:sz w:val="20"/>
          <w:szCs w:val="20"/>
          <w:lang w:val="es-ES" w:eastAsia="en-US"/>
        </w:rPr>
      </w:pPr>
      <w:r w:rsidRPr="003E130A">
        <w:rPr>
          <w:rFonts w:ascii="Arial" w:eastAsia="Calibri" w:hAnsi="Arial" w:cs="Arial"/>
          <w:sz w:val="20"/>
          <w:szCs w:val="20"/>
          <w:lang w:val="es-ES" w:eastAsia="en-US"/>
        </w:rPr>
        <w:t>El tercer trimestre se caracterizó por el resurgimiento de la pandemia COVID-19, así como por las medidas de restricción de viajes aplicadas por muchos países con el fin de contener la propagación del coronavirus.</w:t>
      </w:r>
    </w:p>
    <w:p w:rsidR="004F7CDD" w:rsidRPr="003E130A" w:rsidRDefault="004F7CDD" w:rsidP="004F7CDD">
      <w:pPr>
        <w:widowControl/>
        <w:autoSpaceDE w:val="0"/>
        <w:autoSpaceDN w:val="0"/>
        <w:adjustRightInd w:val="0"/>
        <w:spacing w:after="120" w:line="276" w:lineRule="auto"/>
        <w:jc w:val="both"/>
        <w:rPr>
          <w:rFonts w:ascii="Arial" w:eastAsia="Calibri" w:hAnsi="Arial" w:cs="Arial"/>
          <w:sz w:val="20"/>
          <w:szCs w:val="20"/>
          <w:lang w:val="es-ES" w:eastAsia="en-US"/>
        </w:rPr>
      </w:pPr>
      <w:r w:rsidRPr="003E130A">
        <w:rPr>
          <w:rFonts w:ascii="Arial" w:eastAsia="Calibri" w:hAnsi="Arial" w:cs="Arial"/>
          <w:sz w:val="20"/>
          <w:szCs w:val="20"/>
          <w:lang w:val="es-ES" w:eastAsia="en-US"/>
        </w:rPr>
        <w:t xml:space="preserve">La rápida fase de recuperación económica que siguió al fin del </w:t>
      </w:r>
      <w:r w:rsidR="00CC528C">
        <w:rPr>
          <w:rFonts w:ascii="Arial" w:eastAsia="Calibri" w:hAnsi="Arial" w:cs="Arial"/>
          <w:sz w:val="20"/>
          <w:szCs w:val="20"/>
          <w:lang w:val="es-ES" w:eastAsia="en-US"/>
        </w:rPr>
        <w:t>confinamiento</w:t>
      </w:r>
      <w:r w:rsidRPr="003E130A">
        <w:rPr>
          <w:rFonts w:ascii="Arial" w:eastAsia="Calibri" w:hAnsi="Arial" w:cs="Arial"/>
          <w:sz w:val="20"/>
          <w:szCs w:val="20"/>
          <w:lang w:val="es-ES" w:eastAsia="en-US"/>
        </w:rPr>
        <w:t xml:space="preserve"> ha terminado. No obstante, el nivel sin precedentes de apoyo a la economía por parte de numerosos bancos centrales y gobiernos ha impedido hasta ahora un aumento de las insolvencias de empresas.</w:t>
      </w:r>
    </w:p>
    <w:p w:rsidR="000F04C4" w:rsidRPr="003E130A" w:rsidRDefault="004F7CDD" w:rsidP="004F7CDD">
      <w:pPr>
        <w:widowControl/>
        <w:autoSpaceDE w:val="0"/>
        <w:autoSpaceDN w:val="0"/>
        <w:adjustRightInd w:val="0"/>
        <w:spacing w:after="120" w:line="276" w:lineRule="auto"/>
        <w:jc w:val="both"/>
        <w:rPr>
          <w:rFonts w:ascii="Arial" w:eastAsia="Calibri" w:hAnsi="Arial" w:cs="Arial"/>
          <w:sz w:val="20"/>
          <w:szCs w:val="20"/>
          <w:lang w:val="es-ES" w:eastAsia="en-US"/>
        </w:rPr>
      </w:pPr>
      <w:r w:rsidRPr="003E130A">
        <w:rPr>
          <w:rFonts w:ascii="Arial" w:eastAsia="Calibri" w:hAnsi="Arial" w:cs="Arial"/>
          <w:sz w:val="20"/>
          <w:szCs w:val="20"/>
          <w:lang w:val="es-ES" w:eastAsia="en-US"/>
        </w:rPr>
        <w:t>Los equipos de Coface siguen trabajando en estrecha colaboración con los clientes para ayudarles a adaptar sus niveles de riesgo. Este enfoque de servicio al cliente ha permitido alcanzar una producción neta positiva, a pesar del ajuste de precios que las circunstancias actuales hacen necesario</w:t>
      </w:r>
      <w:r w:rsidR="000F04C4" w:rsidRPr="003E130A">
        <w:rPr>
          <w:rFonts w:ascii="Arial" w:eastAsia="Calibri" w:hAnsi="Arial" w:cs="Arial"/>
          <w:sz w:val="20"/>
          <w:szCs w:val="20"/>
          <w:lang w:val="es-ES" w:eastAsia="en-US"/>
        </w:rPr>
        <w:t>.</w:t>
      </w:r>
    </w:p>
    <w:p w:rsidR="004F7CDD" w:rsidRPr="003E130A" w:rsidRDefault="004F7CDD" w:rsidP="004F7CDD">
      <w:pPr>
        <w:widowControl/>
        <w:autoSpaceDE w:val="0"/>
        <w:autoSpaceDN w:val="0"/>
        <w:adjustRightInd w:val="0"/>
        <w:spacing w:after="120" w:line="276" w:lineRule="auto"/>
        <w:jc w:val="both"/>
        <w:rPr>
          <w:rFonts w:ascii="Arial" w:eastAsia="Calibri" w:hAnsi="Arial" w:cs="Arial"/>
          <w:sz w:val="20"/>
          <w:szCs w:val="20"/>
          <w:lang w:val="es-ES" w:eastAsia="en-US"/>
        </w:rPr>
      </w:pPr>
      <w:r w:rsidRPr="003E130A">
        <w:rPr>
          <w:rFonts w:ascii="Arial" w:eastAsia="Calibri" w:hAnsi="Arial" w:cs="Arial"/>
          <w:sz w:val="20"/>
          <w:szCs w:val="20"/>
          <w:lang w:val="es-ES" w:eastAsia="en-US"/>
        </w:rPr>
        <w:t>Hasta la fecha, la mayor parte de los planes de apoyo gubernamentales aplicados en 2020 continuarán hasta el final del año.</w:t>
      </w:r>
    </w:p>
    <w:p w:rsidR="004F7CDD" w:rsidRPr="003E130A" w:rsidRDefault="004F7CDD" w:rsidP="004F7CDD">
      <w:pPr>
        <w:widowControl/>
        <w:autoSpaceDE w:val="0"/>
        <w:autoSpaceDN w:val="0"/>
        <w:adjustRightInd w:val="0"/>
        <w:spacing w:after="120" w:line="276" w:lineRule="auto"/>
        <w:jc w:val="both"/>
        <w:rPr>
          <w:rFonts w:ascii="Arial" w:eastAsia="Calibri" w:hAnsi="Arial" w:cs="Arial"/>
          <w:sz w:val="20"/>
          <w:szCs w:val="20"/>
          <w:lang w:val="es-ES" w:eastAsia="en-US"/>
        </w:rPr>
      </w:pPr>
      <w:r w:rsidRPr="003E130A">
        <w:rPr>
          <w:rFonts w:ascii="Arial" w:eastAsia="Calibri" w:hAnsi="Arial" w:cs="Arial"/>
          <w:sz w:val="20"/>
          <w:szCs w:val="20"/>
          <w:lang w:val="es-ES" w:eastAsia="en-US"/>
        </w:rPr>
        <w:t>Dados sus buenos resultados en la mayoría de sus indicadores operativos y su sólido balance, Coface lanza un programa de recompra de acciones por un importe máximo de 15 millones de euros, es decir, 2,4 millones de acciones. Esto demuestra, una vez más, la disciplina de Coface en la gestión de su capital.</w:t>
      </w:r>
    </w:p>
    <w:p w:rsidR="00BA70D9" w:rsidRPr="003E130A" w:rsidRDefault="004F7CDD" w:rsidP="004F7CDD">
      <w:pPr>
        <w:widowControl/>
        <w:autoSpaceDE w:val="0"/>
        <w:autoSpaceDN w:val="0"/>
        <w:adjustRightInd w:val="0"/>
        <w:spacing w:after="120" w:line="276" w:lineRule="auto"/>
        <w:jc w:val="both"/>
        <w:rPr>
          <w:rFonts w:ascii="Arial" w:eastAsia="Calibri" w:hAnsi="Arial" w:cs="Arial"/>
          <w:sz w:val="20"/>
          <w:szCs w:val="20"/>
          <w:lang w:val="es-ES" w:eastAsia="en-US"/>
        </w:rPr>
      </w:pPr>
      <w:r w:rsidRPr="003E130A">
        <w:rPr>
          <w:rFonts w:ascii="Arial" w:eastAsia="Calibri" w:hAnsi="Arial" w:cs="Arial"/>
          <w:sz w:val="20"/>
          <w:szCs w:val="20"/>
          <w:lang w:val="es-ES" w:eastAsia="en-US"/>
        </w:rPr>
        <w:t>La evolución de la situación económica dependerá de la pandemia y de las medidas de acompañamiento, que serán aplicadas por los gobiernos y los bancos centrales. Coface confía en que su agilidad y eficacia nos permitirán navegar con éxito en este período tan difícil. Los objetivos del plan estratégico "</w:t>
      </w:r>
      <w:proofErr w:type="spellStart"/>
      <w:r w:rsidRPr="003E130A">
        <w:rPr>
          <w:rFonts w:ascii="Arial" w:eastAsia="Calibri" w:hAnsi="Arial" w:cs="Arial"/>
          <w:sz w:val="20"/>
          <w:szCs w:val="20"/>
          <w:lang w:val="es-ES" w:eastAsia="en-US"/>
        </w:rPr>
        <w:t>Build</w:t>
      </w:r>
      <w:proofErr w:type="spellEnd"/>
      <w:r w:rsidRPr="003E130A">
        <w:rPr>
          <w:rFonts w:ascii="Arial" w:eastAsia="Calibri" w:hAnsi="Arial" w:cs="Arial"/>
          <w:sz w:val="20"/>
          <w:szCs w:val="20"/>
          <w:lang w:val="es-ES" w:eastAsia="en-US"/>
        </w:rPr>
        <w:t xml:space="preserve"> to Lead" permanecen inalterados</w:t>
      </w:r>
      <w:r w:rsidR="000F04C4" w:rsidRPr="003E130A">
        <w:rPr>
          <w:rFonts w:ascii="Arial" w:eastAsia="Calibri" w:hAnsi="Arial" w:cs="Arial"/>
          <w:sz w:val="20"/>
          <w:szCs w:val="20"/>
          <w:lang w:val="es-ES" w:eastAsia="en-US"/>
        </w:rPr>
        <w:t xml:space="preserve">. </w:t>
      </w:r>
    </w:p>
    <w:p w:rsidR="00EC73F7" w:rsidRPr="003E130A" w:rsidRDefault="00EC73F7" w:rsidP="00CC52BB">
      <w:pPr>
        <w:widowControl/>
        <w:spacing w:line="276" w:lineRule="auto"/>
        <w:jc w:val="both"/>
        <w:rPr>
          <w:rFonts w:ascii="Arial" w:hAnsi="Arial" w:cs="Arial"/>
          <w:sz w:val="20"/>
          <w:szCs w:val="20"/>
          <w:lang w:val="es-ES" w:eastAsia="fr-FR"/>
        </w:rPr>
      </w:pPr>
    </w:p>
    <w:p w:rsidR="00B62A67" w:rsidRPr="003E130A" w:rsidRDefault="00B62A67" w:rsidP="002D16EC">
      <w:pPr>
        <w:autoSpaceDE w:val="0"/>
        <w:autoSpaceDN w:val="0"/>
        <w:adjustRightInd w:val="0"/>
        <w:spacing w:line="270" w:lineRule="exact"/>
        <w:jc w:val="both"/>
        <w:rPr>
          <w:rFonts w:ascii="Arial" w:hAnsi="Arial" w:cs="Arial"/>
          <w:sz w:val="20"/>
          <w:szCs w:val="20"/>
          <w:lang w:val="es-ES" w:eastAsia="en-US"/>
        </w:rPr>
      </w:pPr>
    </w:p>
    <w:p w:rsidR="00B62A67" w:rsidRPr="003E130A" w:rsidRDefault="00B62A67" w:rsidP="002D16EC">
      <w:pPr>
        <w:autoSpaceDE w:val="0"/>
        <w:autoSpaceDN w:val="0"/>
        <w:adjustRightInd w:val="0"/>
        <w:spacing w:line="270" w:lineRule="exact"/>
        <w:jc w:val="both"/>
        <w:rPr>
          <w:rFonts w:ascii="Arial" w:hAnsi="Arial" w:cs="Arial"/>
          <w:sz w:val="20"/>
          <w:szCs w:val="20"/>
          <w:lang w:val="es-ES" w:eastAsia="en-US"/>
        </w:rPr>
      </w:pPr>
    </w:p>
    <w:p w:rsidR="002D16EC" w:rsidRPr="003E130A" w:rsidRDefault="00E057F0" w:rsidP="002D16EC">
      <w:pPr>
        <w:widowControl/>
        <w:rPr>
          <w:rFonts w:ascii="Arial" w:hAnsi="Arial" w:cs="Arial"/>
          <w:sz w:val="20"/>
          <w:szCs w:val="20"/>
          <w:lang w:val="es-ES"/>
        </w:rPr>
      </w:pPr>
      <w:r w:rsidRPr="003E130A">
        <w:rPr>
          <w:rFonts w:ascii="Arial" w:hAnsi="Arial" w:cs="Arial"/>
          <w:sz w:val="20"/>
          <w:szCs w:val="20"/>
          <w:lang w:val="es-ES" w:eastAsia="en-US"/>
        </w:rPr>
        <w:t xml:space="preserve">La presentación </w:t>
      </w:r>
      <w:r w:rsidR="00CC528C">
        <w:rPr>
          <w:rFonts w:ascii="Arial" w:hAnsi="Arial" w:cs="Arial"/>
          <w:sz w:val="20"/>
          <w:szCs w:val="20"/>
          <w:lang w:val="es-ES" w:eastAsia="en-US"/>
        </w:rPr>
        <w:t xml:space="preserve">de los resultados </w:t>
      </w:r>
      <w:r w:rsidRPr="003E130A">
        <w:rPr>
          <w:rFonts w:ascii="Arial" w:hAnsi="Arial" w:cs="Arial"/>
          <w:sz w:val="20"/>
          <w:szCs w:val="20"/>
          <w:lang w:val="es-ES" w:eastAsia="en-US"/>
        </w:rPr>
        <w:t xml:space="preserve">estará disponible (sólo en inglés) en la siguiente dirección: </w:t>
      </w:r>
      <w:hyperlink r:id="rId8" w:history="1">
        <w:r w:rsidR="002D29A1" w:rsidRPr="003E130A">
          <w:rPr>
            <w:rStyle w:val="Hipervnculo"/>
            <w:rFonts w:ascii="Arial" w:hAnsi="Arial" w:cs="Arial"/>
            <w:sz w:val="20"/>
            <w:szCs w:val="20"/>
            <w:lang w:val="es-ES"/>
          </w:rPr>
          <w:t>http://www.coface.com/Investors/financial-results-an</w:t>
        </w:r>
        <w:r w:rsidR="002D29A1" w:rsidRPr="003E130A">
          <w:rPr>
            <w:rStyle w:val="Hipervnculo"/>
            <w:rFonts w:ascii="Arial" w:hAnsi="Arial" w:cs="Arial"/>
            <w:sz w:val="20"/>
            <w:szCs w:val="20"/>
            <w:lang w:val="es-ES"/>
          </w:rPr>
          <w:t>d</w:t>
        </w:r>
        <w:r w:rsidR="002D29A1" w:rsidRPr="003E130A">
          <w:rPr>
            <w:rStyle w:val="Hipervnculo"/>
            <w:rFonts w:ascii="Arial" w:hAnsi="Arial" w:cs="Arial"/>
            <w:sz w:val="20"/>
            <w:szCs w:val="20"/>
            <w:lang w:val="es-ES"/>
          </w:rPr>
          <w:t>-reports</w:t>
        </w:r>
      </w:hyperlink>
      <w:r w:rsidR="002D29A1" w:rsidRPr="003E130A">
        <w:rPr>
          <w:rFonts w:ascii="Arial" w:hAnsi="Arial" w:cs="Arial"/>
          <w:sz w:val="20"/>
          <w:szCs w:val="20"/>
          <w:lang w:val="es-ES"/>
        </w:rPr>
        <w:t xml:space="preserve"> </w:t>
      </w:r>
    </w:p>
    <w:p w:rsidR="002D16EC" w:rsidRPr="003E130A" w:rsidRDefault="002D16EC">
      <w:pPr>
        <w:widowControl/>
        <w:rPr>
          <w:rFonts w:ascii="Arial" w:hAnsi="Arial" w:cs="Arial"/>
          <w:b/>
          <w:bCs/>
          <w:sz w:val="20"/>
          <w:szCs w:val="20"/>
          <w:lang w:val="es-ES"/>
        </w:rPr>
      </w:pPr>
      <w:r w:rsidRPr="003E130A">
        <w:rPr>
          <w:rFonts w:ascii="Arial" w:hAnsi="Arial" w:cs="Arial"/>
          <w:b/>
          <w:bCs/>
          <w:sz w:val="20"/>
          <w:szCs w:val="20"/>
          <w:lang w:val="es-ES"/>
        </w:rPr>
        <w:br w:type="page"/>
      </w:r>
    </w:p>
    <w:p w:rsidR="002D16EC" w:rsidRPr="003E130A" w:rsidRDefault="002D16EC">
      <w:pPr>
        <w:widowControl/>
        <w:rPr>
          <w:rFonts w:ascii="Arial" w:hAnsi="Arial" w:cs="Arial"/>
          <w:b/>
          <w:bCs/>
          <w:sz w:val="20"/>
          <w:szCs w:val="20"/>
          <w:lang w:val="es-ES"/>
        </w:rPr>
      </w:pPr>
    </w:p>
    <w:p w:rsidR="002D16EC" w:rsidRPr="003E130A" w:rsidRDefault="00E057F0" w:rsidP="00DB6ED7">
      <w:pPr>
        <w:widowControl/>
        <w:jc w:val="center"/>
        <w:rPr>
          <w:rFonts w:ascii="Arial" w:hAnsi="Arial" w:cs="Arial"/>
          <w:b/>
          <w:bCs/>
          <w:sz w:val="20"/>
          <w:szCs w:val="20"/>
          <w:u w:val="single"/>
          <w:lang w:val="en-US"/>
        </w:rPr>
      </w:pPr>
      <w:proofErr w:type="spellStart"/>
      <w:r w:rsidRPr="003E130A">
        <w:rPr>
          <w:rFonts w:ascii="Arial" w:hAnsi="Arial" w:cs="Arial"/>
          <w:b/>
          <w:bCs/>
          <w:sz w:val="20"/>
          <w:szCs w:val="20"/>
          <w:u w:val="single"/>
          <w:lang w:val="en-US"/>
        </w:rPr>
        <w:t>A</w:t>
      </w:r>
      <w:r w:rsidR="00CC528C">
        <w:rPr>
          <w:rFonts w:ascii="Arial" w:hAnsi="Arial" w:cs="Arial"/>
          <w:b/>
          <w:bCs/>
          <w:sz w:val="20"/>
          <w:szCs w:val="20"/>
          <w:u w:val="single"/>
          <w:lang w:val="en-US"/>
        </w:rPr>
        <w:t>nexo</w:t>
      </w:r>
      <w:proofErr w:type="spellEnd"/>
    </w:p>
    <w:p w:rsidR="00DB6ED7" w:rsidRPr="003E130A" w:rsidRDefault="00DB6ED7" w:rsidP="00DB6ED7">
      <w:pPr>
        <w:widowControl/>
        <w:jc w:val="center"/>
        <w:rPr>
          <w:rFonts w:ascii="Arial" w:hAnsi="Arial" w:cs="Arial"/>
          <w:b/>
          <w:bCs/>
          <w:sz w:val="20"/>
          <w:szCs w:val="20"/>
          <w:u w:val="single"/>
          <w:lang w:val="en-US"/>
        </w:rPr>
      </w:pPr>
    </w:p>
    <w:p w:rsidR="00DB6ED7" w:rsidRPr="003E130A" w:rsidRDefault="00E057F0" w:rsidP="00DB6ED7">
      <w:pPr>
        <w:widowControl/>
        <w:rPr>
          <w:rFonts w:ascii="Arial" w:hAnsi="Arial" w:cs="Arial"/>
          <w:bCs/>
          <w:sz w:val="20"/>
          <w:szCs w:val="20"/>
          <w:u w:val="single"/>
          <w:lang w:val="en-US"/>
        </w:rPr>
      </w:pPr>
      <w:proofErr w:type="spellStart"/>
      <w:r w:rsidRPr="003E130A">
        <w:rPr>
          <w:rFonts w:ascii="Arial" w:hAnsi="Arial" w:cs="Arial"/>
          <w:bCs/>
          <w:sz w:val="20"/>
          <w:szCs w:val="20"/>
          <w:u w:val="single"/>
          <w:lang w:val="en-US"/>
        </w:rPr>
        <w:t>Resultados</w:t>
      </w:r>
      <w:proofErr w:type="spellEnd"/>
      <w:r w:rsidRPr="003E130A">
        <w:rPr>
          <w:rFonts w:ascii="Arial" w:hAnsi="Arial" w:cs="Arial"/>
          <w:bCs/>
          <w:sz w:val="20"/>
          <w:szCs w:val="20"/>
          <w:u w:val="single"/>
          <w:lang w:val="en-US"/>
        </w:rPr>
        <w:t xml:space="preserve"> </w:t>
      </w:r>
      <w:proofErr w:type="spellStart"/>
      <w:r w:rsidRPr="003E130A">
        <w:rPr>
          <w:rFonts w:ascii="Arial" w:hAnsi="Arial" w:cs="Arial"/>
          <w:bCs/>
          <w:sz w:val="20"/>
          <w:szCs w:val="20"/>
          <w:u w:val="single"/>
          <w:lang w:val="en-US"/>
        </w:rPr>
        <w:t>trimestrales</w:t>
      </w:r>
      <w:proofErr w:type="spellEnd"/>
    </w:p>
    <w:p w:rsidR="00DB6ED7" w:rsidRPr="003E130A" w:rsidRDefault="00DB6ED7" w:rsidP="00DB6ED7">
      <w:pPr>
        <w:widowControl/>
        <w:rPr>
          <w:rFonts w:ascii="Arial" w:hAnsi="Arial" w:cs="Arial"/>
          <w:bCs/>
          <w:sz w:val="20"/>
          <w:szCs w:val="20"/>
          <w:u w:val="single"/>
          <w:lang w:val="en-US"/>
        </w:rPr>
      </w:pPr>
    </w:p>
    <w:tbl>
      <w:tblPr>
        <w:tblW w:w="8931" w:type="dxa"/>
        <w:tblInd w:w="108" w:type="dxa"/>
        <w:tblLook w:val="04A0" w:firstRow="1" w:lastRow="0" w:firstColumn="1" w:lastColumn="0" w:noHBand="0" w:noVBand="1"/>
      </w:tblPr>
      <w:tblGrid>
        <w:gridCol w:w="2334"/>
        <w:gridCol w:w="654"/>
        <w:gridCol w:w="654"/>
        <w:gridCol w:w="654"/>
        <w:gridCol w:w="654"/>
        <w:gridCol w:w="654"/>
        <w:gridCol w:w="654"/>
        <w:gridCol w:w="776"/>
        <w:gridCol w:w="236"/>
        <w:gridCol w:w="884"/>
        <w:gridCol w:w="777"/>
      </w:tblGrid>
      <w:tr w:rsidR="00E419AB" w:rsidRPr="003E130A" w:rsidTr="00E419AB">
        <w:trPr>
          <w:trHeight w:val="630"/>
        </w:trPr>
        <w:tc>
          <w:tcPr>
            <w:tcW w:w="2366" w:type="dxa"/>
            <w:tcBorders>
              <w:top w:val="nil"/>
              <w:left w:val="nil"/>
              <w:bottom w:val="nil"/>
              <w:right w:val="nil"/>
            </w:tcBorders>
            <w:shd w:val="clear" w:color="000000" w:fill="03365F"/>
            <w:vAlign w:val="center"/>
            <w:hideMark/>
          </w:tcPr>
          <w:p w:rsidR="00E419AB" w:rsidRPr="003E130A" w:rsidRDefault="00E057F0" w:rsidP="00E419AB">
            <w:pPr>
              <w:widowControl/>
              <w:rPr>
                <w:rFonts w:ascii="Arial" w:eastAsia="Times New Roman" w:hAnsi="Arial" w:cs="Arial"/>
                <w:b/>
                <w:bCs/>
                <w:color w:val="FFFFFF"/>
                <w:sz w:val="16"/>
                <w:szCs w:val="16"/>
                <w:lang w:val="es-ES"/>
              </w:rPr>
            </w:pPr>
            <w:r w:rsidRPr="003E130A">
              <w:rPr>
                <w:rFonts w:ascii="Arial" w:eastAsia="Times New Roman" w:hAnsi="Arial" w:cs="Arial"/>
                <w:b/>
                <w:bCs/>
                <w:color w:val="FFFFFF"/>
                <w:sz w:val="16"/>
                <w:szCs w:val="16"/>
                <w:lang w:val="es-ES"/>
              </w:rPr>
              <w:t>Partidas de la cuenta de resultados en €m - cifras trimestrales</w:t>
            </w:r>
          </w:p>
        </w:tc>
        <w:tc>
          <w:tcPr>
            <w:tcW w:w="654" w:type="dxa"/>
            <w:tcBorders>
              <w:top w:val="nil"/>
              <w:left w:val="nil"/>
              <w:bottom w:val="nil"/>
              <w:right w:val="nil"/>
            </w:tcBorders>
            <w:shd w:val="clear" w:color="000000" w:fill="03365F"/>
            <w:noWrap/>
            <w:vAlign w:val="center"/>
            <w:hideMark/>
          </w:tcPr>
          <w:p w:rsidR="00E419AB" w:rsidRPr="003E130A" w:rsidRDefault="00E419AB" w:rsidP="00E419AB">
            <w:pPr>
              <w:widowControl/>
              <w:jc w:val="center"/>
              <w:rPr>
                <w:rFonts w:ascii="Arial" w:eastAsia="Times New Roman" w:hAnsi="Arial" w:cs="Arial"/>
                <w:b/>
                <w:bCs/>
                <w:color w:val="FFFFFF"/>
                <w:sz w:val="16"/>
                <w:szCs w:val="16"/>
              </w:rPr>
            </w:pPr>
            <w:r w:rsidRPr="003E130A">
              <w:rPr>
                <w:rFonts w:ascii="Arial" w:eastAsia="Times New Roman" w:hAnsi="Arial" w:cs="Arial"/>
                <w:b/>
                <w:bCs/>
                <w:color w:val="FFFFFF"/>
                <w:sz w:val="16"/>
                <w:szCs w:val="16"/>
              </w:rPr>
              <w:t>Q1-19</w:t>
            </w:r>
          </w:p>
        </w:tc>
        <w:tc>
          <w:tcPr>
            <w:tcW w:w="654" w:type="dxa"/>
            <w:tcBorders>
              <w:top w:val="nil"/>
              <w:left w:val="nil"/>
              <w:bottom w:val="nil"/>
              <w:right w:val="nil"/>
            </w:tcBorders>
            <w:shd w:val="clear" w:color="000000" w:fill="03365F"/>
            <w:noWrap/>
            <w:vAlign w:val="center"/>
            <w:hideMark/>
          </w:tcPr>
          <w:p w:rsidR="00E419AB" w:rsidRPr="003E130A" w:rsidRDefault="00E419AB" w:rsidP="00E419AB">
            <w:pPr>
              <w:widowControl/>
              <w:jc w:val="center"/>
              <w:rPr>
                <w:rFonts w:ascii="Arial" w:eastAsia="Times New Roman" w:hAnsi="Arial" w:cs="Arial"/>
                <w:b/>
                <w:bCs/>
                <w:color w:val="FFFFFF"/>
                <w:sz w:val="16"/>
                <w:szCs w:val="16"/>
              </w:rPr>
            </w:pPr>
            <w:r w:rsidRPr="003E130A">
              <w:rPr>
                <w:rFonts w:ascii="Arial" w:eastAsia="Times New Roman" w:hAnsi="Arial" w:cs="Arial"/>
                <w:b/>
                <w:bCs/>
                <w:color w:val="FFFFFF"/>
                <w:sz w:val="16"/>
                <w:szCs w:val="16"/>
              </w:rPr>
              <w:t>Q2-19</w:t>
            </w:r>
          </w:p>
        </w:tc>
        <w:tc>
          <w:tcPr>
            <w:tcW w:w="654" w:type="dxa"/>
            <w:tcBorders>
              <w:top w:val="nil"/>
              <w:left w:val="nil"/>
              <w:bottom w:val="nil"/>
              <w:right w:val="nil"/>
            </w:tcBorders>
            <w:shd w:val="clear" w:color="000000" w:fill="03365F"/>
            <w:noWrap/>
            <w:vAlign w:val="center"/>
            <w:hideMark/>
          </w:tcPr>
          <w:p w:rsidR="00E419AB" w:rsidRPr="003E130A" w:rsidRDefault="00E419AB" w:rsidP="00E419AB">
            <w:pPr>
              <w:widowControl/>
              <w:jc w:val="center"/>
              <w:rPr>
                <w:rFonts w:ascii="Arial" w:eastAsia="Times New Roman" w:hAnsi="Arial" w:cs="Arial"/>
                <w:b/>
                <w:bCs/>
                <w:color w:val="FFFFFF"/>
                <w:sz w:val="16"/>
                <w:szCs w:val="16"/>
              </w:rPr>
            </w:pPr>
            <w:r w:rsidRPr="003E130A">
              <w:rPr>
                <w:rFonts w:ascii="Arial" w:eastAsia="Times New Roman" w:hAnsi="Arial" w:cs="Arial"/>
                <w:b/>
                <w:bCs/>
                <w:color w:val="FFFFFF"/>
                <w:sz w:val="16"/>
                <w:szCs w:val="16"/>
              </w:rPr>
              <w:t>Q3-19</w:t>
            </w:r>
          </w:p>
        </w:tc>
        <w:tc>
          <w:tcPr>
            <w:tcW w:w="654" w:type="dxa"/>
            <w:tcBorders>
              <w:top w:val="nil"/>
              <w:left w:val="nil"/>
              <w:bottom w:val="nil"/>
              <w:right w:val="nil"/>
            </w:tcBorders>
            <w:shd w:val="clear" w:color="000000" w:fill="03365F"/>
            <w:noWrap/>
            <w:vAlign w:val="center"/>
            <w:hideMark/>
          </w:tcPr>
          <w:p w:rsidR="00E419AB" w:rsidRPr="003E130A" w:rsidRDefault="00E419AB" w:rsidP="00E419AB">
            <w:pPr>
              <w:widowControl/>
              <w:jc w:val="center"/>
              <w:rPr>
                <w:rFonts w:ascii="Arial" w:eastAsia="Times New Roman" w:hAnsi="Arial" w:cs="Arial"/>
                <w:b/>
                <w:bCs/>
                <w:color w:val="FFFFFF"/>
                <w:sz w:val="16"/>
                <w:szCs w:val="16"/>
              </w:rPr>
            </w:pPr>
            <w:r w:rsidRPr="003E130A">
              <w:rPr>
                <w:rFonts w:ascii="Arial" w:eastAsia="Times New Roman" w:hAnsi="Arial" w:cs="Arial"/>
                <w:b/>
                <w:bCs/>
                <w:color w:val="FFFFFF"/>
                <w:sz w:val="16"/>
                <w:szCs w:val="16"/>
              </w:rPr>
              <w:t>Q4-19</w:t>
            </w:r>
          </w:p>
        </w:tc>
        <w:tc>
          <w:tcPr>
            <w:tcW w:w="654" w:type="dxa"/>
            <w:tcBorders>
              <w:top w:val="nil"/>
              <w:left w:val="nil"/>
              <w:bottom w:val="nil"/>
              <w:right w:val="nil"/>
            </w:tcBorders>
            <w:shd w:val="clear" w:color="000000" w:fill="03365F"/>
            <w:noWrap/>
            <w:vAlign w:val="center"/>
            <w:hideMark/>
          </w:tcPr>
          <w:p w:rsidR="00E419AB" w:rsidRPr="003E130A" w:rsidRDefault="00E419AB" w:rsidP="00E419AB">
            <w:pPr>
              <w:widowControl/>
              <w:jc w:val="center"/>
              <w:rPr>
                <w:rFonts w:ascii="Arial" w:eastAsia="Times New Roman" w:hAnsi="Arial" w:cs="Arial"/>
                <w:b/>
                <w:bCs/>
                <w:color w:val="FFFFFF"/>
                <w:sz w:val="16"/>
                <w:szCs w:val="16"/>
              </w:rPr>
            </w:pPr>
            <w:r w:rsidRPr="003E130A">
              <w:rPr>
                <w:rFonts w:ascii="Arial" w:eastAsia="Times New Roman" w:hAnsi="Arial" w:cs="Arial"/>
                <w:b/>
                <w:bCs/>
                <w:color w:val="FFFFFF"/>
                <w:sz w:val="16"/>
                <w:szCs w:val="16"/>
              </w:rPr>
              <w:t>Q1-20</w:t>
            </w:r>
          </w:p>
        </w:tc>
        <w:tc>
          <w:tcPr>
            <w:tcW w:w="654" w:type="dxa"/>
            <w:tcBorders>
              <w:top w:val="nil"/>
              <w:left w:val="nil"/>
              <w:bottom w:val="nil"/>
              <w:right w:val="nil"/>
            </w:tcBorders>
            <w:shd w:val="clear" w:color="000000" w:fill="03365F"/>
            <w:noWrap/>
            <w:vAlign w:val="center"/>
            <w:hideMark/>
          </w:tcPr>
          <w:p w:rsidR="00E419AB" w:rsidRPr="003E130A" w:rsidRDefault="00E419AB" w:rsidP="00E419AB">
            <w:pPr>
              <w:widowControl/>
              <w:jc w:val="center"/>
              <w:rPr>
                <w:rFonts w:ascii="Arial" w:eastAsia="Times New Roman" w:hAnsi="Arial" w:cs="Arial"/>
                <w:b/>
                <w:bCs/>
                <w:color w:val="FFFFFF"/>
                <w:sz w:val="16"/>
                <w:szCs w:val="16"/>
              </w:rPr>
            </w:pPr>
            <w:r w:rsidRPr="003E130A">
              <w:rPr>
                <w:rFonts w:ascii="Arial" w:eastAsia="Times New Roman" w:hAnsi="Arial" w:cs="Arial"/>
                <w:b/>
                <w:bCs/>
                <w:color w:val="FFFFFF"/>
                <w:sz w:val="16"/>
                <w:szCs w:val="16"/>
              </w:rPr>
              <w:t>Q2-20</w:t>
            </w:r>
          </w:p>
        </w:tc>
        <w:tc>
          <w:tcPr>
            <w:tcW w:w="776" w:type="dxa"/>
            <w:tcBorders>
              <w:top w:val="nil"/>
              <w:left w:val="nil"/>
              <w:bottom w:val="nil"/>
              <w:right w:val="nil"/>
            </w:tcBorders>
            <w:shd w:val="clear" w:color="000000" w:fill="18B3B9"/>
            <w:noWrap/>
            <w:vAlign w:val="center"/>
            <w:hideMark/>
          </w:tcPr>
          <w:p w:rsidR="00E419AB" w:rsidRPr="003E130A" w:rsidRDefault="00E419AB" w:rsidP="00E419AB">
            <w:pPr>
              <w:widowControl/>
              <w:jc w:val="center"/>
              <w:rPr>
                <w:rFonts w:ascii="Arial" w:eastAsia="Times New Roman" w:hAnsi="Arial" w:cs="Arial"/>
                <w:b/>
                <w:bCs/>
                <w:color w:val="FFFFFF"/>
                <w:sz w:val="16"/>
                <w:szCs w:val="16"/>
              </w:rPr>
            </w:pPr>
            <w:r w:rsidRPr="003E130A">
              <w:rPr>
                <w:rFonts w:ascii="Arial" w:eastAsia="Times New Roman" w:hAnsi="Arial" w:cs="Arial"/>
                <w:b/>
                <w:bCs/>
                <w:color w:val="FFFFFF"/>
                <w:sz w:val="16"/>
                <w:szCs w:val="16"/>
              </w:rPr>
              <w:t>Q3-20</w:t>
            </w:r>
          </w:p>
        </w:tc>
        <w:tc>
          <w:tcPr>
            <w:tcW w:w="236" w:type="dxa"/>
            <w:tcBorders>
              <w:top w:val="nil"/>
              <w:left w:val="nil"/>
              <w:bottom w:val="nil"/>
              <w:right w:val="nil"/>
            </w:tcBorders>
            <w:shd w:val="clear" w:color="auto" w:fill="auto"/>
            <w:noWrap/>
            <w:vAlign w:val="center"/>
            <w:hideMark/>
          </w:tcPr>
          <w:p w:rsidR="00E419AB" w:rsidRPr="003E130A" w:rsidRDefault="00E419AB" w:rsidP="00E419AB">
            <w:pPr>
              <w:widowControl/>
              <w:jc w:val="center"/>
              <w:rPr>
                <w:rFonts w:ascii="Arial" w:eastAsia="Times New Roman" w:hAnsi="Arial" w:cs="Arial"/>
                <w:b/>
                <w:bCs/>
                <w:color w:val="FFFFFF"/>
                <w:sz w:val="16"/>
                <w:szCs w:val="16"/>
              </w:rPr>
            </w:pPr>
          </w:p>
        </w:tc>
        <w:tc>
          <w:tcPr>
            <w:tcW w:w="884" w:type="dxa"/>
            <w:tcBorders>
              <w:top w:val="nil"/>
              <w:left w:val="nil"/>
              <w:bottom w:val="nil"/>
              <w:right w:val="nil"/>
            </w:tcBorders>
            <w:shd w:val="clear" w:color="000000" w:fill="03365F"/>
            <w:noWrap/>
            <w:vAlign w:val="center"/>
            <w:hideMark/>
          </w:tcPr>
          <w:p w:rsidR="00E419AB" w:rsidRPr="003E130A" w:rsidRDefault="00E419AB" w:rsidP="00E419AB">
            <w:pPr>
              <w:widowControl/>
              <w:jc w:val="center"/>
              <w:rPr>
                <w:rFonts w:ascii="Arial" w:eastAsia="Times New Roman" w:hAnsi="Arial" w:cs="Arial"/>
                <w:b/>
                <w:bCs/>
                <w:color w:val="FFFFFF"/>
                <w:sz w:val="16"/>
                <w:szCs w:val="16"/>
              </w:rPr>
            </w:pPr>
            <w:r w:rsidRPr="003E130A">
              <w:rPr>
                <w:rFonts w:ascii="Arial" w:eastAsia="Times New Roman" w:hAnsi="Arial" w:cs="Arial"/>
                <w:b/>
                <w:bCs/>
                <w:color w:val="FFFFFF"/>
                <w:sz w:val="16"/>
                <w:szCs w:val="16"/>
              </w:rPr>
              <w:t>%</w:t>
            </w:r>
          </w:p>
        </w:tc>
        <w:tc>
          <w:tcPr>
            <w:tcW w:w="745" w:type="dxa"/>
            <w:tcBorders>
              <w:top w:val="nil"/>
              <w:left w:val="nil"/>
              <w:bottom w:val="nil"/>
              <w:right w:val="nil"/>
            </w:tcBorders>
            <w:shd w:val="clear" w:color="000000" w:fill="03365F"/>
            <w:vAlign w:val="center"/>
            <w:hideMark/>
          </w:tcPr>
          <w:p w:rsidR="00E419AB" w:rsidRPr="003E130A" w:rsidRDefault="00E419AB" w:rsidP="00E419AB">
            <w:pPr>
              <w:widowControl/>
              <w:jc w:val="center"/>
              <w:rPr>
                <w:rFonts w:ascii="Arial" w:eastAsia="Times New Roman" w:hAnsi="Arial" w:cs="Arial"/>
                <w:b/>
                <w:bCs/>
                <w:color w:val="FFFFFF"/>
                <w:sz w:val="16"/>
                <w:szCs w:val="16"/>
              </w:rPr>
            </w:pPr>
            <w:r w:rsidRPr="003E130A">
              <w:rPr>
                <w:rFonts w:ascii="Arial" w:eastAsia="Times New Roman" w:hAnsi="Arial" w:cs="Arial"/>
                <w:b/>
                <w:bCs/>
                <w:color w:val="FFFFFF"/>
                <w:sz w:val="16"/>
                <w:szCs w:val="16"/>
              </w:rPr>
              <w:t>% ex. FX*</w:t>
            </w:r>
          </w:p>
        </w:tc>
      </w:tr>
      <w:tr w:rsidR="00E419AB" w:rsidRPr="003E130A" w:rsidTr="00E419AB">
        <w:trPr>
          <w:trHeight w:val="300"/>
        </w:trPr>
        <w:tc>
          <w:tcPr>
            <w:tcW w:w="2366" w:type="dxa"/>
            <w:tcBorders>
              <w:top w:val="single" w:sz="4" w:space="0" w:color="BFBFBF"/>
              <w:left w:val="nil"/>
              <w:bottom w:val="single" w:sz="4" w:space="0" w:color="BFBFBF"/>
              <w:right w:val="nil"/>
            </w:tcBorders>
            <w:shd w:val="clear" w:color="auto" w:fill="auto"/>
            <w:vAlign w:val="center"/>
            <w:hideMark/>
          </w:tcPr>
          <w:p w:rsidR="00E419AB" w:rsidRPr="003E130A" w:rsidRDefault="00E057F0" w:rsidP="00E419AB">
            <w:pPr>
              <w:widowControl/>
              <w:rPr>
                <w:rFonts w:ascii="Arial" w:eastAsia="Times New Roman" w:hAnsi="Arial" w:cs="Arial"/>
                <w:sz w:val="16"/>
                <w:szCs w:val="16"/>
              </w:rPr>
            </w:pPr>
            <w:proofErr w:type="spellStart"/>
            <w:r w:rsidRPr="003E130A">
              <w:rPr>
                <w:rFonts w:ascii="Arial" w:eastAsia="Times New Roman" w:hAnsi="Arial" w:cs="Arial"/>
                <w:sz w:val="16"/>
                <w:szCs w:val="16"/>
              </w:rPr>
              <w:t>Primas</w:t>
            </w:r>
            <w:proofErr w:type="spellEnd"/>
            <w:r w:rsidRPr="003E130A">
              <w:rPr>
                <w:rFonts w:ascii="Arial" w:eastAsia="Times New Roman" w:hAnsi="Arial" w:cs="Arial"/>
                <w:sz w:val="16"/>
                <w:szCs w:val="16"/>
              </w:rPr>
              <w:t xml:space="preserve"> </w:t>
            </w:r>
            <w:proofErr w:type="spellStart"/>
            <w:r w:rsidRPr="003E130A">
              <w:rPr>
                <w:rFonts w:ascii="Arial" w:eastAsia="Times New Roman" w:hAnsi="Arial" w:cs="Arial"/>
                <w:sz w:val="16"/>
                <w:szCs w:val="16"/>
              </w:rPr>
              <w:t>brutas</w:t>
            </w:r>
            <w:proofErr w:type="spellEnd"/>
            <w:r w:rsidRPr="003E130A">
              <w:rPr>
                <w:rFonts w:ascii="Arial" w:eastAsia="Times New Roman" w:hAnsi="Arial" w:cs="Arial"/>
                <w:sz w:val="16"/>
                <w:szCs w:val="16"/>
              </w:rPr>
              <w:t xml:space="preserve"> </w:t>
            </w:r>
            <w:proofErr w:type="spellStart"/>
            <w:r w:rsidRPr="003E130A">
              <w:rPr>
                <w:rFonts w:ascii="Arial" w:eastAsia="Times New Roman" w:hAnsi="Arial" w:cs="Arial"/>
                <w:sz w:val="16"/>
                <w:szCs w:val="16"/>
              </w:rPr>
              <w:t>devengadas</w:t>
            </w:r>
            <w:proofErr w:type="spellEnd"/>
          </w:p>
        </w:tc>
        <w:tc>
          <w:tcPr>
            <w:tcW w:w="654" w:type="dxa"/>
            <w:tcBorders>
              <w:top w:val="single" w:sz="4" w:space="0" w:color="BFBFBF"/>
              <w:left w:val="nil"/>
              <w:bottom w:val="single" w:sz="4" w:space="0" w:color="BFBFB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299.0</w:t>
            </w:r>
          </w:p>
        </w:tc>
        <w:tc>
          <w:tcPr>
            <w:tcW w:w="654" w:type="dxa"/>
            <w:tcBorders>
              <w:top w:val="single" w:sz="4" w:space="0" w:color="BFBFBF"/>
              <w:left w:val="nil"/>
              <w:bottom w:val="single" w:sz="4" w:space="0" w:color="BFBFB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306.3</w:t>
            </w:r>
          </w:p>
        </w:tc>
        <w:tc>
          <w:tcPr>
            <w:tcW w:w="654" w:type="dxa"/>
            <w:tcBorders>
              <w:top w:val="single" w:sz="4" w:space="0" w:color="BFBFBF"/>
              <w:left w:val="nil"/>
              <w:bottom w:val="single" w:sz="4" w:space="0" w:color="BFBFBF"/>
              <w:right w:val="nil"/>
            </w:tcBorders>
            <w:shd w:val="clear" w:color="000000" w:fill="F2F2F2"/>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312.6</w:t>
            </w:r>
          </w:p>
        </w:tc>
        <w:tc>
          <w:tcPr>
            <w:tcW w:w="654" w:type="dxa"/>
            <w:tcBorders>
              <w:top w:val="single" w:sz="4" w:space="0" w:color="BFBFBF"/>
              <w:left w:val="nil"/>
              <w:bottom w:val="single" w:sz="4" w:space="0" w:color="BFBFB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317.7</w:t>
            </w:r>
          </w:p>
        </w:tc>
        <w:tc>
          <w:tcPr>
            <w:tcW w:w="654" w:type="dxa"/>
            <w:tcBorders>
              <w:top w:val="single" w:sz="4" w:space="0" w:color="BFBFBF"/>
              <w:left w:val="nil"/>
              <w:bottom w:val="single" w:sz="4" w:space="0" w:color="BFBFBF"/>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301.2</w:t>
            </w:r>
          </w:p>
        </w:tc>
        <w:tc>
          <w:tcPr>
            <w:tcW w:w="654" w:type="dxa"/>
            <w:tcBorders>
              <w:top w:val="single" w:sz="4" w:space="0" w:color="BFBFBF"/>
              <w:left w:val="nil"/>
              <w:bottom w:val="single" w:sz="4" w:space="0" w:color="BFBFBF"/>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297.9</w:t>
            </w:r>
          </w:p>
        </w:tc>
        <w:tc>
          <w:tcPr>
            <w:tcW w:w="776" w:type="dxa"/>
            <w:tcBorders>
              <w:top w:val="single" w:sz="4" w:space="0" w:color="BFBFBF"/>
              <w:left w:val="nil"/>
              <w:bottom w:val="single" w:sz="4" w:space="0" w:color="BFBFBF"/>
              <w:right w:val="nil"/>
            </w:tcBorders>
            <w:shd w:val="clear" w:color="000000" w:fill="D1F0F1"/>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298.1</w:t>
            </w:r>
          </w:p>
        </w:tc>
        <w:tc>
          <w:tcPr>
            <w:tcW w:w="236"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sz w:val="16"/>
                <w:szCs w:val="16"/>
              </w:rPr>
            </w:pPr>
          </w:p>
        </w:tc>
        <w:tc>
          <w:tcPr>
            <w:tcW w:w="884" w:type="dxa"/>
            <w:tcBorders>
              <w:top w:val="single" w:sz="4" w:space="0" w:color="BFBFBF"/>
              <w:left w:val="nil"/>
              <w:bottom w:val="single" w:sz="4" w:space="0" w:color="BFBFB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(4.6)%</w:t>
            </w:r>
          </w:p>
        </w:tc>
        <w:tc>
          <w:tcPr>
            <w:tcW w:w="745" w:type="dxa"/>
            <w:tcBorders>
              <w:top w:val="single" w:sz="4" w:space="0" w:color="BFBFBF"/>
              <w:left w:val="nil"/>
              <w:bottom w:val="single" w:sz="4" w:space="0" w:color="BFBFBF"/>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(2.2)%</w:t>
            </w:r>
          </w:p>
        </w:tc>
      </w:tr>
      <w:tr w:rsidR="00E419AB" w:rsidRPr="003E130A" w:rsidTr="00E419AB">
        <w:trPr>
          <w:trHeight w:val="300"/>
        </w:trPr>
        <w:tc>
          <w:tcPr>
            <w:tcW w:w="2366" w:type="dxa"/>
            <w:tcBorders>
              <w:top w:val="nil"/>
              <w:left w:val="nil"/>
              <w:bottom w:val="nil"/>
              <w:right w:val="nil"/>
            </w:tcBorders>
            <w:shd w:val="clear" w:color="auto" w:fill="auto"/>
            <w:vAlign w:val="center"/>
            <w:hideMark/>
          </w:tcPr>
          <w:p w:rsidR="00E419AB" w:rsidRPr="003E130A" w:rsidRDefault="00E057F0" w:rsidP="00E419AB">
            <w:pPr>
              <w:widowControl/>
              <w:rPr>
                <w:rFonts w:ascii="Arial" w:eastAsia="Times New Roman" w:hAnsi="Arial" w:cs="Arial"/>
                <w:sz w:val="16"/>
                <w:szCs w:val="16"/>
              </w:rPr>
            </w:pPr>
            <w:proofErr w:type="spellStart"/>
            <w:r w:rsidRPr="003E130A">
              <w:rPr>
                <w:rFonts w:ascii="Arial" w:eastAsia="Times New Roman" w:hAnsi="Arial" w:cs="Arial"/>
                <w:sz w:val="16"/>
                <w:szCs w:val="16"/>
              </w:rPr>
              <w:t>Ingresos</w:t>
            </w:r>
            <w:proofErr w:type="spellEnd"/>
            <w:r w:rsidRPr="003E130A">
              <w:rPr>
                <w:rFonts w:ascii="Arial" w:eastAsia="Times New Roman" w:hAnsi="Arial" w:cs="Arial"/>
                <w:sz w:val="16"/>
                <w:szCs w:val="16"/>
              </w:rPr>
              <w:t xml:space="preserve"> </w:t>
            </w:r>
            <w:proofErr w:type="spellStart"/>
            <w:r w:rsidRPr="003E130A">
              <w:rPr>
                <w:rFonts w:ascii="Arial" w:eastAsia="Times New Roman" w:hAnsi="Arial" w:cs="Arial"/>
                <w:sz w:val="16"/>
                <w:szCs w:val="16"/>
              </w:rPr>
              <w:t>por</w:t>
            </w:r>
            <w:proofErr w:type="spellEnd"/>
            <w:r w:rsidRPr="003E130A">
              <w:rPr>
                <w:rFonts w:ascii="Arial" w:eastAsia="Times New Roman" w:hAnsi="Arial" w:cs="Arial"/>
                <w:sz w:val="16"/>
                <w:szCs w:val="16"/>
              </w:rPr>
              <w:t xml:space="preserve"> </w:t>
            </w:r>
            <w:proofErr w:type="spellStart"/>
            <w:r w:rsidRPr="003E130A">
              <w:rPr>
                <w:rFonts w:ascii="Arial" w:eastAsia="Times New Roman" w:hAnsi="Arial" w:cs="Arial"/>
                <w:sz w:val="16"/>
                <w:szCs w:val="16"/>
              </w:rPr>
              <w:t>servicios</w:t>
            </w:r>
            <w:proofErr w:type="spellEnd"/>
          </w:p>
        </w:tc>
        <w:tc>
          <w:tcPr>
            <w:tcW w:w="654"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66.4</w:t>
            </w:r>
          </w:p>
        </w:tc>
        <w:tc>
          <w:tcPr>
            <w:tcW w:w="654"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60.8</w:t>
            </w:r>
          </w:p>
        </w:tc>
        <w:tc>
          <w:tcPr>
            <w:tcW w:w="654" w:type="dxa"/>
            <w:tcBorders>
              <w:top w:val="nil"/>
              <w:left w:val="nil"/>
              <w:bottom w:val="nil"/>
              <w:right w:val="nil"/>
            </w:tcBorders>
            <w:shd w:val="clear" w:color="000000" w:fill="F2F2F2"/>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58.3</w:t>
            </w:r>
          </w:p>
        </w:tc>
        <w:tc>
          <w:tcPr>
            <w:tcW w:w="654"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59.9</w:t>
            </w:r>
          </w:p>
        </w:tc>
        <w:tc>
          <w:tcPr>
            <w:tcW w:w="654" w:type="dxa"/>
            <w:tcBorders>
              <w:top w:val="nil"/>
              <w:left w:val="nil"/>
              <w:bottom w:val="nil"/>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69.3</w:t>
            </w:r>
          </w:p>
        </w:tc>
        <w:tc>
          <w:tcPr>
            <w:tcW w:w="654" w:type="dxa"/>
            <w:tcBorders>
              <w:top w:val="nil"/>
              <w:left w:val="nil"/>
              <w:bottom w:val="nil"/>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56.3</w:t>
            </w:r>
          </w:p>
        </w:tc>
        <w:tc>
          <w:tcPr>
            <w:tcW w:w="776" w:type="dxa"/>
            <w:tcBorders>
              <w:top w:val="nil"/>
              <w:left w:val="nil"/>
              <w:bottom w:val="nil"/>
              <w:right w:val="nil"/>
            </w:tcBorders>
            <w:shd w:val="clear" w:color="000000" w:fill="D1F0F1"/>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59.7</w:t>
            </w:r>
          </w:p>
        </w:tc>
        <w:tc>
          <w:tcPr>
            <w:tcW w:w="236"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sz w:val="16"/>
                <w:szCs w:val="16"/>
              </w:rPr>
            </w:pPr>
          </w:p>
        </w:tc>
        <w:tc>
          <w:tcPr>
            <w:tcW w:w="884"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+2.5%</w:t>
            </w:r>
          </w:p>
        </w:tc>
        <w:tc>
          <w:tcPr>
            <w:tcW w:w="745" w:type="dxa"/>
            <w:tcBorders>
              <w:top w:val="nil"/>
              <w:left w:val="nil"/>
              <w:bottom w:val="nil"/>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+3.4%</w:t>
            </w:r>
          </w:p>
        </w:tc>
      </w:tr>
      <w:tr w:rsidR="00E419AB" w:rsidRPr="003E130A" w:rsidTr="00E419AB">
        <w:trPr>
          <w:trHeight w:val="300"/>
        </w:trPr>
        <w:tc>
          <w:tcPr>
            <w:tcW w:w="2366" w:type="dxa"/>
            <w:tcBorders>
              <w:top w:val="single" w:sz="4" w:space="0" w:color="BFBFBF"/>
              <w:left w:val="nil"/>
              <w:bottom w:val="single" w:sz="8" w:space="0" w:color="BFBFBF"/>
              <w:right w:val="nil"/>
            </w:tcBorders>
            <w:shd w:val="clear" w:color="auto" w:fill="auto"/>
            <w:vAlign w:val="center"/>
            <w:hideMark/>
          </w:tcPr>
          <w:p w:rsidR="00E419AB" w:rsidRPr="003E130A" w:rsidRDefault="00E057F0" w:rsidP="00E419AB">
            <w:pPr>
              <w:widowControl/>
              <w:rPr>
                <w:rFonts w:ascii="Arial" w:eastAsia="Times New Roman" w:hAnsi="Arial" w:cs="Arial"/>
                <w:b/>
                <w:bCs/>
                <w:sz w:val="16"/>
                <w:szCs w:val="16"/>
              </w:rPr>
            </w:pPr>
            <w:r w:rsidRPr="003E130A">
              <w:rPr>
                <w:rFonts w:ascii="Arial" w:eastAsia="Times New Roman" w:hAnsi="Arial" w:cs="Arial"/>
                <w:b/>
                <w:bCs/>
                <w:sz w:val="16"/>
                <w:szCs w:val="16"/>
              </w:rPr>
              <w:t>INGRESOS</w:t>
            </w:r>
          </w:p>
        </w:tc>
        <w:tc>
          <w:tcPr>
            <w:tcW w:w="654" w:type="dxa"/>
            <w:tcBorders>
              <w:top w:val="single" w:sz="4" w:space="0" w:color="BFBFBF"/>
              <w:left w:val="nil"/>
              <w:bottom w:val="single" w:sz="8" w:space="0" w:color="BFBFB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b/>
                <w:bCs/>
                <w:sz w:val="16"/>
                <w:szCs w:val="16"/>
              </w:rPr>
            </w:pPr>
            <w:r w:rsidRPr="003E130A">
              <w:rPr>
                <w:rFonts w:ascii="Arial" w:eastAsia="Times New Roman" w:hAnsi="Arial" w:cs="Arial"/>
                <w:b/>
                <w:bCs/>
                <w:sz w:val="16"/>
                <w:szCs w:val="16"/>
              </w:rPr>
              <w:t>365.5</w:t>
            </w:r>
          </w:p>
        </w:tc>
        <w:tc>
          <w:tcPr>
            <w:tcW w:w="654" w:type="dxa"/>
            <w:tcBorders>
              <w:top w:val="single" w:sz="4" w:space="0" w:color="BFBFBF"/>
              <w:left w:val="nil"/>
              <w:bottom w:val="single" w:sz="8" w:space="0" w:color="BFBFB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b/>
                <w:bCs/>
                <w:sz w:val="16"/>
                <w:szCs w:val="16"/>
              </w:rPr>
            </w:pPr>
            <w:r w:rsidRPr="003E130A">
              <w:rPr>
                <w:rFonts w:ascii="Arial" w:eastAsia="Times New Roman" w:hAnsi="Arial" w:cs="Arial"/>
                <w:b/>
                <w:bCs/>
                <w:sz w:val="16"/>
                <w:szCs w:val="16"/>
              </w:rPr>
              <w:t>367.1</w:t>
            </w:r>
          </w:p>
        </w:tc>
        <w:tc>
          <w:tcPr>
            <w:tcW w:w="654" w:type="dxa"/>
            <w:tcBorders>
              <w:top w:val="single" w:sz="4" w:space="0" w:color="BFBFBF"/>
              <w:left w:val="nil"/>
              <w:bottom w:val="single" w:sz="8" w:space="0" w:color="BFBFBF"/>
              <w:right w:val="nil"/>
            </w:tcBorders>
            <w:shd w:val="clear" w:color="000000" w:fill="F2F2F2"/>
            <w:noWrap/>
            <w:vAlign w:val="center"/>
            <w:hideMark/>
          </w:tcPr>
          <w:p w:rsidR="00E419AB" w:rsidRPr="003E130A" w:rsidRDefault="00E419AB" w:rsidP="00E419AB">
            <w:pPr>
              <w:widowControl/>
              <w:jc w:val="right"/>
              <w:rPr>
                <w:rFonts w:ascii="Arial" w:eastAsia="Times New Roman" w:hAnsi="Arial" w:cs="Arial"/>
                <w:b/>
                <w:bCs/>
                <w:sz w:val="16"/>
                <w:szCs w:val="16"/>
              </w:rPr>
            </w:pPr>
            <w:r w:rsidRPr="003E130A">
              <w:rPr>
                <w:rFonts w:ascii="Arial" w:eastAsia="Times New Roman" w:hAnsi="Arial" w:cs="Arial"/>
                <w:b/>
                <w:bCs/>
                <w:sz w:val="16"/>
                <w:szCs w:val="16"/>
              </w:rPr>
              <w:t>370.9</w:t>
            </w:r>
          </w:p>
        </w:tc>
        <w:tc>
          <w:tcPr>
            <w:tcW w:w="654" w:type="dxa"/>
            <w:tcBorders>
              <w:top w:val="single" w:sz="4" w:space="0" w:color="BFBFBF"/>
              <w:left w:val="nil"/>
              <w:bottom w:val="single" w:sz="8" w:space="0" w:color="BFBFB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b/>
                <w:bCs/>
                <w:sz w:val="16"/>
                <w:szCs w:val="16"/>
              </w:rPr>
            </w:pPr>
            <w:r w:rsidRPr="003E130A">
              <w:rPr>
                <w:rFonts w:ascii="Arial" w:eastAsia="Times New Roman" w:hAnsi="Arial" w:cs="Arial"/>
                <w:b/>
                <w:bCs/>
                <w:sz w:val="16"/>
                <w:szCs w:val="16"/>
              </w:rPr>
              <w:t>377.6</w:t>
            </w:r>
          </w:p>
        </w:tc>
        <w:tc>
          <w:tcPr>
            <w:tcW w:w="654" w:type="dxa"/>
            <w:tcBorders>
              <w:top w:val="single" w:sz="4" w:space="0" w:color="BFBFBF"/>
              <w:left w:val="nil"/>
              <w:bottom w:val="single" w:sz="8" w:space="0" w:color="BFBFBF"/>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b/>
                <w:bCs/>
                <w:sz w:val="16"/>
                <w:szCs w:val="16"/>
              </w:rPr>
            </w:pPr>
            <w:r w:rsidRPr="003E130A">
              <w:rPr>
                <w:rFonts w:ascii="Arial" w:eastAsia="Times New Roman" w:hAnsi="Arial" w:cs="Arial"/>
                <w:b/>
                <w:bCs/>
                <w:sz w:val="16"/>
                <w:szCs w:val="16"/>
              </w:rPr>
              <w:t>370.5</w:t>
            </w:r>
          </w:p>
        </w:tc>
        <w:tc>
          <w:tcPr>
            <w:tcW w:w="654" w:type="dxa"/>
            <w:tcBorders>
              <w:top w:val="single" w:sz="4" w:space="0" w:color="BFBFBF"/>
              <w:left w:val="nil"/>
              <w:bottom w:val="single" w:sz="8" w:space="0" w:color="BFBFBF"/>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b/>
                <w:bCs/>
                <w:sz w:val="16"/>
                <w:szCs w:val="16"/>
              </w:rPr>
            </w:pPr>
            <w:r w:rsidRPr="003E130A">
              <w:rPr>
                <w:rFonts w:ascii="Arial" w:eastAsia="Times New Roman" w:hAnsi="Arial" w:cs="Arial"/>
                <w:b/>
                <w:bCs/>
                <w:sz w:val="16"/>
                <w:szCs w:val="16"/>
              </w:rPr>
              <w:t>354.2</w:t>
            </w:r>
          </w:p>
        </w:tc>
        <w:tc>
          <w:tcPr>
            <w:tcW w:w="776" w:type="dxa"/>
            <w:tcBorders>
              <w:top w:val="single" w:sz="4" w:space="0" w:color="BFBFBF"/>
              <w:left w:val="nil"/>
              <w:bottom w:val="single" w:sz="8" w:space="0" w:color="BFBFBF"/>
              <w:right w:val="nil"/>
            </w:tcBorders>
            <w:shd w:val="clear" w:color="000000" w:fill="D1F0F1"/>
            <w:noWrap/>
            <w:vAlign w:val="center"/>
            <w:hideMark/>
          </w:tcPr>
          <w:p w:rsidR="00E419AB" w:rsidRPr="003E130A" w:rsidRDefault="00E419AB" w:rsidP="00E419AB">
            <w:pPr>
              <w:widowControl/>
              <w:jc w:val="right"/>
              <w:rPr>
                <w:rFonts w:ascii="Arial" w:eastAsia="Times New Roman" w:hAnsi="Arial" w:cs="Arial"/>
                <w:b/>
                <w:bCs/>
                <w:sz w:val="16"/>
                <w:szCs w:val="16"/>
              </w:rPr>
            </w:pPr>
            <w:r w:rsidRPr="003E130A">
              <w:rPr>
                <w:rFonts w:ascii="Arial" w:eastAsia="Times New Roman" w:hAnsi="Arial" w:cs="Arial"/>
                <w:b/>
                <w:bCs/>
                <w:sz w:val="16"/>
                <w:szCs w:val="16"/>
              </w:rPr>
              <w:t>357.8</w:t>
            </w:r>
          </w:p>
        </w:tc>
        <w:tc>
          <w:tcPr>
            <w:tcW w:w="236"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b/>
                <w:bCs/>
                <w:sz w:val="16"/>
                <w:szCs w:val="16"/>
              </w:rPr>
            </w:pPr>
          </w:p>
        </w:tc>
        <w:tc>
          <w:tcPr>
            <w:tcW w:w="884" w:type="dxa"/>
            <w:tcBorders>
              <w:top w:val="single" w:sz="4" w:space="0" w:color="BFBFBF"/>
              <w:left w:val="nil"/>
              <w:bottom w:val="single" w:sz="8" w:space="0" w:color="BFBFB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b/>
                <w:bCs/>
                <w:sz w:val="16"/>
                <w:szCs w:val="16"/>
              </w:rPr>
            </w:pPr>
            <w:r w:rsidRPr="003E130A">
              <w:rPr>
                <w:rFonts w:ascii="Arial" w:eastAsia="Times New Roman" w:hAnsi="Arial" w:cs="Arial"/>
                <w:b/>
                <w:bCs/>
                <w:sz w:val="16"/>
                <w:szCs w:val="16"/>
              </w:rPr>
              <w:t>(3.5)%</w:t>
            </w:r>
          </w:p>
        </w:tc>
        <w:tc>
          <w:tcPr>
            <w:tcW w:w="745" w:type="dxa"/>
            <w:tcBorders>
              <w:top w:val="single" w:sz="4" w:space="0" w:color="BFBFBF"/>
              <w:left w:val="nil"/>
              <w:bottom w:val="single" w:sz="8" w:space="0" w:color="BFBFBF"/>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b/>
                <w:bCs/>
                <w:sz w:val="16"/>
                <w:szCs w:val="16"/>
              </w:rPr>
            </w:pPr>
            <w:r w:rsidRPr="003E130A">
              <w:rPr>
                <w:rFonts w:ascii="Arial" w:eastAsia="Times New Roman" w:hAnsi="Arial" w:cs="Arial"/>
                <w:b/>
                <w:bCs/>
                <w:sz w:val="16"/>
                <w:szCs w:val="16"/>
              </w:rPr>
              <w:t>(1.4)%</w:t>
            </w:r>
          </w:p>
        </w:tc>
      </w:tr>
      <w:tr w:rsidR="00E419AB" w:rsidRPr="003E130A" w:rsidTr="00E419AB">
        <w:trPr>
          <w:trHeight w:val="345"/>
        </w:trPr>
        <w:tc>
          <w:tcPr>
            <w:tcW w:w="2366" w:type="dxa"/>
            <w:tcBorders>
              <w:top w:val="single" w:sz="4" w:space="0" w:color="03365F"/>
              <w:left w:val="nil"/>
              <w:bottom w:val="single" w:sz="8" w:space="0" w:color="03365F"/>
              <w:right w:val="nil"/>
            </w:tcBorders>
            <w:shd w:val="clear" w:color="auto" w:fill="auto"/>
            <w:vAlign w:val="center"/>
            <w:hideMark/>
          </w:tcPr>
          <w:p w:rsidR="00E419AB" w:rsidRPr="003E130A" w:rsidRDefault="00E057F0" w:rsidP="00E419AB">
            <w:pPr>
              <w:widowControl/>
              <w:rPr>
                <w:rFonts w:ascii="Arial" w:eastAsia="Times New Roman" w:hAnsi="Arial" w:cs="Arial"/>
                <w:b/>
                <w:bCs/>
                <w:color w:val="03365F"/>
                <w:sz w:val="16"/>
                <w:szCs w:val="16"/>
                <w:lang w:val="es-ES"/>
              </w:rPr>
            </w:pPr>
            <w:r w:rsidRPr="003E130A">
              <w:rPr>
                <w:rFonts w:ascii="Arial" w:eastAsia="Times New Roman" w:hAnsi="Arial" w:cs="Arial"/>
                <w:b/>
                <w:bCs/>
                <w:color w:val="03365F"/>
                <w:sz w:val="16"/>
                <w:szCs w:val="16"/>
                <w:lang w:val="es-ES"/>
              </w:rPr>
              <w:t>INGRESOS (PÉRDIDAS) DE SUSCRIPCIÓN DESPUÉS DEL REASEGURO</w:t>
            </w:r>
          </w:p>
        </w:tc>
        <w:tc>
          <w:tcPr>
            <w:tcW w:w="654" w:type="dxa"/>
            <w:tcBorders>
              <w:top w:val="single" w:sz="4" w:space="0" w:color="03365F"/>
              <w:left w:val="nil"/>
              <w:bottom w:val="single" w:sz="8" w:space="0" w:color="03365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b/>
                <w:bCs/>
                <w:color w:val="03365F"/>
                <w:sz w:val="16"/>
                <w:szCs w:val="16"/>
              </w:rPr>
            </w:pPr>
            <w:r w:rsidRPr="003E130A">
              <w:rPr>
                <w:rFonts w:ascii="Arial" w:eastAsia="Times New Roman" w:hAnsi="Arial" w:cs="Arial"/>
                <w:b/>
                <w:bCs/>
                <w:color w:val="03365F"/>
                <w:sz w:val="16"/>
                <w:szCs w:val="16"/>
              </w:rPr>
              <w:t>52.0</w:t>
            </w:r>
          </w:p>
        </w:tc>
        <w:tc>
          <w:tcPr>
            <w:tcW w:w="654" w:type="dxa"/>
            <w:tcBorders>
              <w:top w:val="single" w:sz="4" w:space="0" w:color="03365F"/>
              <w:left w:val="nil"/>
              <w:bottom w:val="single" w:sz="8" w:space="0" w:color="03365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b/>
                <w:bCs/>
                <w:color w:val="03365F"/>
                <w:sz w:val="16"/>
                <w:szCs w:val="16"/>
              </w:rPr>
            </w:pPr>
            <w:r w:rsidRPr="003E130A">
              <w:rPr>
                <w:rFonts w:ascii="Arial" w:eastAsia="Times New Roman" w:hAnsi="Arial" w:cs="Arial"/>
                <w:b/>
                <w:bCs/>
                <w:color w:val="03365F"/>
                <w:sz w:val="16"/>
                <w:szCs w:val="16"/>
              </w:rPr>
              <w:t>47.4</w:t>
            </w:r>
          </w:p>
        </w:tc>
        <w:tc>
          <w:tcPr>
            <w:tcW w:w="654" w:type="dxa"/>
            <w:tcBorders>
              <w:top w:val="single" w:sz="4" w:space="0" w:color="03365F"/>
              <w:left w:val="nil"/>
              <w:bottom w:val="single" w:sz="8" w:space="0" w:color="03365F"/>
              <w:right w:val="nil"/>
            </w:tcBorders>
            <w:shd w:val="clear" w:color="000000" w:fill="F2F2F2"/>
            <w:noWrap/>
            <w:vAlign w:val="center"/>
            <w:hideMark/>
          </w:tcPr>
          <w:p w:rsidR="00E419AB" w:rsidRPr="003E130A" w:rsidRDefault="00E419AB" w:rsidP="00E419AB">
            <w:pPr>
              <w:widowControl/>
              <w:jc w:val="right"/>
              <w:rPr>
                <w:rFonts w:ascii="Arial" w:eastAsia="Times New Roman" w:hAnsi="Arial" w:cs="Arial"/>
                <w:b/>
                <w:bCs/>
                <w:color w:val="03365F"/>
                <w:sz w:val="16"/>
                <w:szCs w:val="16"/>
              </w:rPr>
            </w:pPr>
            <w:r w:rsidRPr="003E130A">
              <w:rPr>
                <w:rFonts w:ascii="Arial" w:eastAsia="Times New Roman" w:hAnsi="Arial" w:cs="Arial"/>
                <w:b/>
                <w:bCs/>
                <w:color w:val="03365F"/>
                <w:sz w:val="16"/>
                <w:szCs w:val="16"/>
              </w:rPr>
              <w:t>46.3</w:t>
            </w:r>
          </w:p>
        </w:tc>
        <w:tc>
          <w:tcPr>
            <w:tcW w:w="654" w:type="dxa"/>
            <w:tcBorders>
              <w:top w:val="single" w:sz="4" w:space="0" w:color="03365F"/>
              <w:left w:val="nil"/>
              <w:bottom w:val="single" w:sz="8" w:space="0" w:color="03365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b/>
                <w:bCs/>
                <w:color w:val="03365F"/>
                <w:sz w:val="16"/>
                <w:szCs w:val="16"/>
              </w:rPr>
            </w:pPr>
            <w:r w:rsidRPr="003E130A">
              <w:rPr>
                <w:rFonts w:ascii="Arial" w:eastAsia="Times New Roman" w:hAnsi="Arial" w:cs="Arial"/>
                <w:b/>
                <w:bCs/>
                <w:color w:val="03365F"/>
                <w:sz w:val="16"/>
                <w:szCs w:val="16"/>
              </w:rPr>
              <w:t>42.2</w:t>
            </w:r>
          </w:p>
        </w:tc>
        <w:tc>
          <w:tcPr>
            <w:tcW w:w="654" w:type="dxa"/>
            <w:tcBorders>
              <w:top w:val="single" w:sz="4" w:space="0" w:color="03365F"/>
              <w:left w:val="nil"/>
              <w:bottom w:val="single" w:sz="8" w:space="0" w:color="03365F"/>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b/>
                <w:bCs/>
                <w:color w:val="03365F"/>
                <w:sz w:val="16"/>
                <w:szCs w:val="16"/>
              </w:rPr>
            </w:pPr>
            <w:r w:rsidRPr="003E130A">
              <w:rPr>
                <w:rFonts w:ascii="Arial" w:eastAsia="Times New Roman" w:hAnsi="Arial" w:cs="Arial"/>
                <w:b/>
                <w:bCs/>
                <w:color w:val="03365F"/>
                <w:sz w:val="16"/>
                <w:szCs w:val="16"/>
              </w:rPr>
              <w:t>28.2</w:t>
            </w:r>
          </w:p>
        </w:tc>
        <w:tc>
          <w:tcPr>
            <w:tcW w:w="654" w:type="dxa"/>
            <w:tcBorders>
              <w:top w:val="single" w:sz="4" w:space="0" w:color="03365F"/>
              <w:left w:val="nil"/>
              <w:bottom w:val="single" w:sz="8" w:space="0" w:color="03365F"/>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b/>
                <w:bCs/>
                <w:color w:val="03365F"/>
                <w:sz w:val="16"/>
                <w:szCs w:val="16"/>
              </w:rPr>
            </w:pPr>
            <w:r w:rsidRPr="003E130A">
              <w:rPr>
                <w:rFonts w:ascii="Arial" w:eastAsia="Times New Roman" w:hAnsi="Arial" w:cs="Arial"/>
                <w:b/>
                <w:bCs/>
                <w:color w:val="03365F"/>
                <w:sz w:val="16"/>
                <w:szCs w:val="16"/>
              </w:rPr>
              <w:t>12.1</w:t>
            </w:r>
          </w:p>
        </w:tc>
        <w:tc>
          <w:tcPr>
            <w:tcW w:w="776" w:type="dxa"/>
            <w:tcBorders>
              <w:top w:val="single" w:sz="4" w:space="0" w:color="03365F"/>
              <w:left w:val="nil"/>
              <w:bottom w:val="single" w:sz="8" w:space="0" w:color="03365F"/>
              <w:right w:val="nil"/>
            </w:tcBorders>
            <w:shd w:val="clear" w:color="000000" w:fill="D1F0F1"/>
            <w:noWrap/>
            <w:vAlign w:val="center"/>
            <w:hideMark/>
          </w:tcPr>
          <w:p w:rsidR="00E419AB" w:rsidRPr="003E130A" w:rsidRDefault="00E419AB" w:rsidP="00E419AB">
            <w:pPr>
              <w:widowControl/>
              <w:jc w:val="right"/>
              <w:rPr>
                <w:rFonts w:ascii="Arial" w:eastAsia="Times New Roman" w:hAnsi="Arial" w:cs="Arial"/>
                <w:b/>
                <w:bCs/>
                <w:color w:val="03365F"/>
                <w:sz w:val="16"/>
                <w:szCs w:val="16"/>
              </w:rPr>
            </w:pPr>
            <w:r w:rsidRPr="003E130A">
              <w:rPr>
                <w:rFonts w:ascii="Arial" w:eastAsia="Times New Roman" w:hAnsi="Arial" w:cs="Arial"/>
                <w:b/>
                <w:bCs/>
                <w:color w:val="03365F"/>
                <w:sz w:val="16"/>
                <w:szCs w:val="16"/>
              </w:rPr>
              <w:t>34.2</w:t>
            </w:r>
          </w:p>
        </w:tc>
        <w:tc>
          <w:tcPr>
            <w:tcW w:w="236"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b/>
                <w:bCs/>
                <w:color w:val="03365F"/>
                <w:sz w:val="16"/>
                <w:szCs w:val="16"/>
              </w:rPr>
            </w:pPr>
          </w:p>
        </w:tc>
        <w:tc>
          <w:tcPr>
            <w:tcW w:w="884" w:type="dxa"/>
            <w:tcBorders>
              <w:top w:val="single" w:sz="4" w:space="0" w:color="03365F"/>
              <w:left w:val="nil"/>
              <w:bottom w:val="single" w:sz="8" w:space="0" w:color="03365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b/>
                <w:bCs/>
                <w:color w:val="03365F"/>
                <w:sz w:val="16"/>
                <w:szCs w:val="16"/>
              </w:rPr>
            </w:pPr>
            <w:r w:rsidRPr="003E130A">
              <w:rPr>
                <w:rFonts w:ascii="Arial" w:eastAsia="Times New Roman" w:hAnsi="Arial" w:cs="Arial"/>
                <w:b/>
                <w:bCs/>
                <w:color w:val="03365F"/>
                <w:sz w:val="16"/>
                <w:szCs w:val="16"/>
              </w:rPr>
              <w:t>(26.1)%</w:t>
            </w:r>
          </w:p>
        </w:tc>
        <w:tc>
          <w:tcPr>
            <w:tcW w:w="745" w:type="dxa"/>
            <w:tcBorders>
              <w:top w:val="single" w:sz="4" w:space="0" w:color="03365F"/>
              <w:left w:val="nil"/>
              <w:bottom w:val="single" w:sz="8" w:space="0" w:color="03365F"/>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b/>
                <w:bCs/>
                <w:color w:val="03365F"/>
                <w:sz w:val="16"/>
                <w:szCs w:val="16"/>
              </w:rPr>
            </w:pPr>
            <w:r w:rsidRPr="003E130A">
              <w:rPr>
                <w:rFonts w:ascii="Arial" w:eastAsia="Times New Roman" w:hAnsi="Arial" w:cs="Arial"/>
                <w:b/>
                <w:bCs/>
                <w:color w:val="03365F"/>
                <w:sz w:val="16"/>
                <w:szCs w:val="16"/>
              </w:rPr>
              <w:t>(31.5)%</w:t>
            </w:r>
          </w:p>
        </w:tc>
      </w:tr>
      <w:tr w:rsidR="00EF55E4" w:rsidRPr="003E130A" w:rsidTr="00E419AB">
        <w:trPr>
          <w:trHeight w:val="330"/>
        </w:trPr>
        <w:tc>
          <w:tcPr>
            <w:tcW w:w="2366" w:type="dxa"/>
            <w:tcBorders>
              <w:top w:val="single" w:sz="4" w:space="0" w:color="BFBFBF"/>
              <w:left w:val="nil"/>
              <w:bottom w:val="nil"/>
              <w:right w:val="nil"/>
            </w:tcBorders>
            <w:shd w:val="clear" w:color="auto" w:fill="auto"/>
            <w:vAlign w:val="center"/>
            <w:hideMark/>
          </w:tcPr>
          <w:p w:rsidR="00EF55E4" w:rsidRPr="003E130A" w:rsidRDefault="00E057F0" w:rsidP="00EF55E4">
            <w:pPr>
              <w:widowControl/>
              <w:rPr>
                <w:rFonts w:ascii="Arial" w:eastAsia="Times New Roman" w:hAnsi="Arial" w:cs="Arial"/>
                <w:sz w:val="16"/>
                <w:szCs w:val="16"/>
                <w:lang w:val="es-ES"/>
              </w:rPr>
            </w:pPr>
            <w:r w:rsidRPr="003E130A">
              <w:rPr>
                <w:rFonts w:ascii="Arial" w:eastAsia="Times New Roman" w:hAnsi="Arial" w:cs="Arial"/>
                <w:sz w:val="16"/>
                <w:szCs w:val="16"/>
                <w:lang w:val="es-ES"/>
              </w:rPr>
              <w:t>Ingresos por inversiones, netos de los gastos de gestión</w:t>
            </w:r>
          </w:p>
        </w:tc>
        <w:tc>
          <w:tcPr>
            <w:tcW w:w="654" w:type="dxa"/>
            <w:tcBorders>
              <w:top w:val="single" w:sz="4" w:space="0" w:color="BFBFBF"/>
              <w:left w:val="nil"/>
              <w:bottom w:val="single" w:sz="4" w:space="0" w:color="BFBFBF"/>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5.1</w:t>
            </w:r>
          </w:p>
        </w:tc>
        <w:tc>
          <w:tcPr>
            <w:tcW w:w="654" w:type="dxa"/>
            <w:tcBorders>
              <w:top w:val="single" w:sz="4" w:space="0" w:color="BFBFBF"/>
              <w:left w:val="nil"/>
              <w:bottom w:val="single" w:sz="4" w:space="0" w:color="BFBFBF"/>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11.5</w:t>
            </w:r>
          </w:p>
        </w:tc>
        <w:tc>
          <w:tcPr>
            <w:tcW w:w="654" w:type="dxa"/>
            <w:tcBorders>
              <w:top w:val="single" w:sz="4" w:space="0" w:color="BFBFBF"/>
              <w:left w:val="nil"/>
              <w:bottom w:val="single" w:sz="4" w:space="0" w:color="BFBFBF"/>
              <w:right w:val="nil"/>
            </w:tcBorders>
            <w:shd w:val="clear" w:color="000000" w:fill="F2F2F2"/>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11.8</w:t>
            </w:r>
          </w:p>
        </w:tc>
        <w:tc>
          <w:tcPr>
            <w:tcW w:w="654" w:type="dxa"/>
            <w:tcBorders>
              <w:top w:val="single" w:sz="4" w:space="0" w:color="BFBFBF"/>
              <w:left w:val="nil"/>
              <w:bottom w:val="single" w:sz="4" w:space="0" w:color="BFBFBF"/>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8.5</w:t>
            </w:r>
          </w:p>
        </w:tc>
        <w:tc>
          <w:tcPr>
            <w:tcW w:w="654" w:type="dxa"/>
            <w:tcBorders>
              <w:top w:val="single" w:sz="4" w:space="0" w:color="BFBFBF"/>
              <w:left w:val="nil"/>
              <w:bottom w:val="single" w:sz="4" w:space="0" w:color="BFBFBF"/>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2.7</w:t>
            </w:r>
          </w:p>
        </w:tc>
        <w:tc>
          <w:tcPr>
            <w:tcW w:w="654" w:type="dxa"/>
            <w:tcBorders>
              <w:top w:val="single" w:sz="4" w:space="0" w:color="BFBFBF"/>
              <w:left w:val="nil"/>
              <w:bottom w:val="single" w:sz="4" w:space="0" w:color="BFBFBF"/>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14.0</w:t>
            </w:r>
          </w:p>
        </w:tc>
        <w:tc>
          <w:tcPr>
            <w:tcW w:w="776" w:type="dxa"/>
            <w:tcBorders>
              <w:top w:val="single" w:sz="4" w:space="0" w:color="BFBFBF"/>
              <w:left w:val="nil"/>
              <w:bottom w:val="single" w:sz="4" w:space="0" w:color="BFBFBF"/>
              <w:right w:val="nil"/>
            </w:tcBorders>
            <w:shd w:val="clear" w:color="000000" w:fill="D1F0F1"/>
            <w:noWrap/>
            <w:vAlign w:val="center"/>
            <w:hideMark/>
          </w:tcPr>
          <w:p w:rsidR="00EF55E4" w:rsidRPr="003E130A" w:rsidRDefault="00EF55E4" w:rsidP="00EF55E4">
            <w:pPr>
              <w:widowControl/>
              <w:jc w:val="right"/>
              <w:rPr>
                <w:rFonts w:ascii="Arial" w:eastAsia="Times New Roman" w:hAnsi="Arial" w:cs="Arial"/>
                <w:sz w:val="16"/>
                <w:szCs w:val="20"/>
              </w:rPr>
            </w:pPr>
            <w:r w:rsidRPr="003E130A">
              <w:rPr>
                <w:rFonts w:ascii="Arial" w:hAnsi="Arial" w:cs="Arial"/>
                <w:sz w:val="16"/>
                <w:szCs w:val="20"/>
              </w:rPr>
              <w:t>6.7</w:t>
            </w:r>
          </w:p>
        </w:tc>
        <w:tc>
          <w:tcPr>
            <w:tcW w:w="236" w:type="dxa"/>
            <w:tcBorders>
              <w:top w:val="nil"/>
              <w:left w:val="nil"/>
              <w:bottom w:val="nil"/>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sz w:val="16"/>
                <w:szCs w:val="16"/>
              </w:rPr>
            </w:pPr>
          </w:p>
        </w:tc>
        <w:tc>
          <w:tcPr>
            <w:tcW w:w="884" w:type="dxa"/>
            <w:tcBorders>
              <w:top w:val="single" w:sz="4" w:space="0" w:color="BFBFBF"/>
              <w:left w:val="nil"/>
              <w:bottom w:val="single" w:sz="4" w:space="0" w:color="BFBFBF"/>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(42.7)%</w:t>
            </w:r>
          </w:p>
        </w:tc>
        <w:tc>
          <w:tcPr>
            <w:tcW w:w="745" w:type="dxa"/>
            <w:tcBorders>
              <w:top w:val="single" w:sz="4" w:space="0" w:color="BFBFBF"/>
              <w:left w:val="nil"/>
              <w:bottom w:val="single" w:sz="4" w:space="0" w:color="BFBFBF"/>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(39.7)%</w:t>
            </w:r>
          </w:p>
        </w:tc>
      </w:tr>
      <w:tr w:rsidR="00EF55E4" w:rsidRPr="003E130A" w:rsidTr="00E419AB">
        <w:trPr>
          <w:trHeight w:val="300"/>
        </w:trPr>
        <w:tc>
          <w:tcPr>
            <w:tcW w:w="2366" w:type="dxa"/>
            <w:tcBorders>
              <w:top w:val="single" w:sz="4" w:space="0" w:color="18B3B9"/>
              <w:left w:val="nil"/>
              <w:bottom w:val="single" w:sz="8" w:space="0" w:color="18B3B9"/>
              <w:right w:val="nil"/>
            </w:tcBorders>
            <w:shd w:val="clear" w:color="auto" w:fill="auto"/>
            <w:vAlign w:val="center"/>
            <w:hideMark/>
          </w:tcPr>
          <w:p w:rsidR="00EF55E4" w:rsidRPr="003E130A" w:rsidRDefault="00E057F0" w:rsidP="00EF55E4">
            <w:pPr>
              <w:widowControl/>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INGRESOS OPERATIVOS ACTUALES</w:t>
            </w:r>
          </w:p>
        </w:tc>
        <w:tc>
          <w:tcPr>
            <w:tcW w:w="654"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57.2</w:t>
            </w:r>
          </w:p>
        </w:tc>
        <w:tc>
          <w:tcPr>
            <w:tcW w:w="654"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58.9</w:t>
            </w:r>
          </w:p>
        </w:tc>
        <w:tc>
          <w:tcPr>
            <w:tcW w:w="654" w:type="dxa"/>
            <w:tcBorders>
              <w:top w:val="single" w:sz="4" w:space="0" w:color="18B3B9"/>
              <w:left w:val="nil"/>
              <w:bottom w:val="single" w:sz="8" w:space="0" w:color="18B3B9"/>
              <w:right w:val="nil"/>
            </w:tcBorders>
            <w:shd w:val="clear" w:color="000000" w:fill="F2F2F2"/>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58.0</w:t>
            </w:r>
          </w:p>
        </w:tc>
        <w:tc>
          <w:tcPr>
            <w:tcW w:w="654"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50.7</w:t>
            </w:r>
          </w:p>
        </w:tc>
        <w:tc>
          <w:tcPr>
            <w:tcW w:w="654" w:type="dxa"/>
            <w:tcBorders>
              <w:top w:val="single" w:sz="4" w:space="0" w:color="18B3B9"/>
              <w:left w:val="nil"/>
              <w:bottom w:val="single" w:sz="8" w:space="0" w:color="18B3B9"/>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30.9</w:t>
            </w:r>
          </w:p>
        </w:tc>
        <w:tc>
          <w:tcPr>
            <w:tcW w:w="654" w:type="dxa"/>
            <w:tcBorders>
              <w:top w:val="single" w:sz="4" w:space="0" w:color="18B3B9"/>
              <w:left w:val="nil"/>
              <w:bottom w:val="single" w:sz="8" w:space="0" w:color="18B3B9"/>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26.2</w:t>
            </w:r>
          </w:p>
        </w:tc>
        <w:tc>
          <w:tcPr>
            <w:tcW w:w="776" w:type="dxa"/>
            <w:tcBorders>
              <w:top w:val="single" w:sz="4" w:space="0" w:color="18B3B9"/>
              <w:left w:val="nil"/>
              <w:bottom w:val="single" w:sz="8" w:space="0" w:color="18B3B9"/>
              <w:right w:val="nil"/>
            </w:tcBorders>
            <w:shd w:val="clear" w:color="000000" w:fill="D1F0F1"/>
            <w:noWrap/>
            <w:vAlign w:val="center"/>
            <w:hideMark/>
          </w:tcPr>
          <w:p w:rsidR="00EF55E4" w:rsidRPr="003E130A" w:rsidRDefault="00EF55E4" w:rsidP="00EF55E4">
            <w:pPr>
              <w:jc w:val="right"/>
              <w:rPr>
                <w:rFonts w:ascii="Arial" w:hAnsi="Arial" w:cs="Arial"/>
                <w:b/>
                <w:bCs/>
                <w:color w:val="18B3B9"/>
                <w:sz w:val="16"/>
                <w:szCs w:val="20"/>
              </w:rPr>
            </w:pPr>
            <w:r w:rsidRPr="003E130A">
              <w:rPr>
                <w:rFonts w:ascii="Arial" w:hAnsi="Arial" w:cs="Arial"/>
                <w:b/>
                <w:bCs/>
                <w:color w:val="18B3B9"/>
                <w:sz w:val="16"/>
                <w:szCs w:val="20"/>
              </w:rPr>
              <w:t>40.9</w:t>
            </w:r>
          </w:p>
        </w:tc>
        <w:tc>
          <w:tcPr>
            <w:tcW w:w="236" w:type="dxa"/>
            <w:tcBorders>
              <w:top w:val="nil"/>
              <w:left w:val="nil"/>
              <w:bottom w:val="nil"/>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p>
        </w:tc>
        <w:tc>
          <w:tcPr>
            <w:tcW w:w="884"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(29.4)%</w:t>
            </w:r>
          </w:p>
        </w:tc>
        <w:tc>
          <w:tcPr>
            <w:tcW w:w="745" w:type="dxa"/>
            <w:tcBorders>
              <w:top w:val="single" w:sz="4" w:space="0" w:color="18B3B9"/>
              <w:left w:val="nil"/>
              <w:bottom w:val="single" w:sz="8" w:space="0" w:color="18B3B9"/>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(33.2)%</w:t>
            </w:r>
          </w:p>
        </w:tc>
      </w:tr>
      <w:tr w:rsidR="00EF55E4" w:rsidRPr="003E130A" w:rsidTr="00E419AB">
        <w:trPr>
          <w:trHeight w:val="300"/>
        </w:trPr>
        <w:tc>
          <w:tcPr>
            <w:tcW w:w="2366" w:type="dxa"/>
            <w:tcBorders>
              <w:top w:val="nil"/>
              <w:left w:val="nil"/>
              <w:bottom w:val="nil"/>
              <w:right w:val="nil"/>
            </w:tcBorders>
            <w:shd w:val="clear" w:color="auto" w:fill="auto"/>
            <w:vAlign w:val="center"/>
            <w:hideMark/>
          </w:tcPr>
          <w:p w:rsidR="00EF55E4" w:rsidRPr="003E130A" w:rsidRDefault="00E057F0" w:rsidP="00EF55E4">
            <w:pPr>
              <w:widowControl/>
              <w:rPr>
                <w:rFonts w:ascii="Arial" w:eastAsia="Times New Roman" w:hAnsi="Arial" w:cs="Arial"/>
                <w:sz w:val="16"/>
                <w:szCs w:val="16"/>
              </w:rPr>
            </w:pPr>
            <w:proofErr w:type="spellStart"/>
            <w:r w:rsidRPr="003E130A">
              <w:rPr>
                <w:rFonts w:ascii="Arial" w:eastAsia="Times New Roman" w:hAnsi="Arial" w:cs="Arial"/>
                <w:sz w:val="16"/>
                <w:szCs w:val="16"/>
              </w:rPr>
              <w:t>Otros</w:t>
            </w:r>
            <w:proofErr w:type="spellEnd"/>
            <w:r w:rsidRPr="003E130A">
              <w:rPr>
                <w:rFonts w:ascii="Arial" w:eastAsia="Times New Roman" w:hAnsi="Arial" w:cs="Arial"/>
                <w:sz w:val="16"/>
                <w:szCs w:val="16"/>
              </w:rPr>
              <w:t xml:space="preserve"> </w:t>
            </w:r>
            <w:proofErr w:type="spellStart"/>
            <w:r w:rsidRPr="003E130A">
              <w:rPr>
                <w:rFonts w:ascii="Arial" w:eastAsia="Times New Roman" w:hAnsi="Arial" w:cs="Arial"/>
                <w:sz w:val="16"/>
                <w:szCs w:val="16"/>
              </w:rPr>
              <w:t>ingresos</w:t>
            </w:r>
            <w:proofErr w:type="spellEnd"/>
            <w:r w:rsidRPr="003E130A">
              <w:rPr>
                <w:rFonts w:ascii="Arial" w:eastAsia="Times New Roman" w:hAnsi="Arial" w:cs="Arial"/>
                <w:sz w:val="16"/>
                <w:szCs w:val="16"/>
              </w:rPr>
              <w:t>/</w:t>
            </w:r>
            <w:proofErr w:type="spellStart"/>
            <w:r w:rsidRPr="003E130A">
              <w:rPr>
                <w:rFonts w:ascii="Arial" w:eastAsia="Times New Roman" w:hAnsi="Arial" w:cs="Arial"/>
                <w:sz w:val="16"/>
                <w:szCs w:val="16"/>
              </w:rPr>
              <w:t>gastos</w:t>
            </w:r>
            <w:proofErr w:type="spellEnd"/>
            <w:r w:rsidRPr="003E130A">
              <w:rPr>
                <w:rFonts w:ascii="Arial" w:eastAsia="Times New Roman" w:hAnsi="Arial" w:cs="Arial"/>
                <w:sz w:val="16"/>
                <w:szCs w:val="16"/>
              </w:rPr>
              <w:t xml:space="preserve"> </w:t>
            </w:r>
            <w:proofErr w:type="spellStart"/>
            <w:r w:rsidRPr="003E130A">
              <w:rPr>
                <w:rFonts w:ascii="Arial" w:eastAsia="Times New Roman" w:hAnsi="Arial" w:cs="Arial"/>
                <w:sz w:val="16"/>
                <w:szCs w:val="16"/>
              </w:rPr>
              <w:t>operacionales</w:t>
            </w:r>
            <w:proofErr w:type="spellEnd"/>
          </w:p>
        </w:tc>
        <w:tc>
          <w:tcPr>
            <w:tcW w:w="654" w:type="dxa"/>
            <w:tcBorders>
              <w:top w:val="nil"/>
              <w:left w:val="nil"/>
              <w:bottom w:val="nil"/>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(0.2)</w:t>
            </w:r>
          </w:p>
        </w:tc>
        <w:tc>
          <w:tcPr>
            <w:tcW w:w="654" w:type="dxa"/>
            <w:tcBorders>
              <w:top w:val="nil"/>
              <w:left w:val="nil"/>
              <w:bottom w:val="nil"/>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1.3</w:t>
            </w:r>
          </w:p>
        </w:tc>
        <w:tc>
          <w:tcPr>
            <w:tcW w:w="654" w:type="dxa"/>
            <w:tcBorders>
              <w:top w:val="nil"/>
              <w:left w:val="nil"/>
              <w:bottom w:val="nil"/>
              <w:right w:val="nil"/>
            </w:tcBorders>
            <w:shd w:val="clear" w:color="000000" w:fill="F2F2F2"/>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(1.0)</w:t>
            </w:r>
          </w:p>
        </w:tc>
        <w:tc>
          <w:tcPr>
            <w:tcW w:w="654" w:type="dxa"/>
            <w:tcBorders>
              <w:top w:val="nil"/>
              <w:left w:val="nil"/>
              <w:bottom w:val="nil"/>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(6.1)</w:t>
            </w:r>
          </w:p>
        </w:tc>
        <w:tc>
          <w:tcPr>
            <w:tcW w:w="654" w:type="dxa"/>
            <w:tcBorders>
              <w:top w:val="nil"/>
              <w:left w:val="nil"/>
              <w:bottom w:val="nil"/>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(0.2)</w:t>
            </w:r>
          </w:p>
        </w:tc>
        <w:tc>
          <w:tcPr>
            <w:tcW w:w="654" w:type="dxa"/>
            <w:tcBorders>
              <w:top w:val="nil"/>
              <w:left w:val="nil"/>
              <w:bottom w:val="nil"/>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(1.6)</w:t>
            </w:r>
          </w:p>
        </w:tc>
        <w:tc>
          <w:tcPr>
            <w:tcW w:w="776" w:type="dxa"/>
            <w:tcBorders>
              <w:top w:val="nil"/>
              <w:left w:val="nil"/>
              <w:bottom w:val="nil"/>
              <w:right w:val="nil"/>
            </w:tcBorders>
            <w:shd w:val="clear" w:color="000000" w:fill="D1F0F1"/>
            <w:noWrap/>
            <w:vAlign w:val="center"/>
            <w:hideMark/>
          </w:tcPr>
          <w:p w:rsidR="00EF55E4" w:rsidRPr="003E130A" w:rsidRDefault="00EF55E4" w:rsidP="00EF55E4">
            <w:pPr>
              <w:jc w:val="right"/>
              <w:rPr>
                <w:rFonts w:ascii="Arial" w:hAnsi="Arial" w:cs="Arial"/>
                <w:sz w:val="16"/>
                <w:szCs w:val="20"/>
              </w:rPr>
            </w:pPr>
            <w:r w:rsidRPr="003E130A">
              <w:rPr>
                <w:rFonts w:ascii="Arial" w:hAnsi="Arial" w:cs="Arial"/>
                <w:sz w:val="16"/>
                <w:szCs w:val="20"/>
              </w:rPr>
              <w:t>(0.6)</w:t>
            </w:r>
          </w:p>
        </w:tc>
        <w:tc>
          <w:tcPr>
            <w:tcW w:w="236" w:type="dxa"/>
            <w:tcBorders>
              <w:top w:val="nil"/>
              <w:left w:val="nil"/>
              <w:bottom w:val="nil"/>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sz w:val="16"/>
                <w:szCs w:val="16"/>
              </w:rPr>
            </w:pPr>
          </w:p>
        </w:tc>
        <w:tc>
          <w:tcPr>
            <w:tcW w:w="884" w:type="dxa"/>
            <w:tcBorders>
              <w:top w:val="single" w:sz="4" w:space="0" w:color="18B3B9"/>
              <w:left w:val="nil"/>
              <w:bottom w:val="nil"/>
              <w:right w:val="nil"/>
            </w:tcBorders>
            <w:shd w:val="clear" w:color="000000" w:fill="FFFFFF"/>
            <w:noWrap/>
            <w:vAlign w:val="bottom"/>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N.A</w:t>
            </w:r>
          </w:p>
        </w:tc>
        <w:tc>
          <w:tcPr>
            <w:tcW w:w="745" w:type="dxa"/>
            <w:tcBorders>
              <w:top w:val="single" w:sz="4" w:space="0" w:color="18B3B9"/>
              <w:left w:val="nil"/>
              <w:bottom w:val="nil"/>
              <w:right w:val="nil"/>
            </w:tcBorders>
            <w:shd w:val="clear" w:color="000000" w:fill="FFFFFF"/>
            <w:noWrap/>
            <w:vAlign w:val="bottom"/>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N.A</w:t>
            </w:r>
          </w:p>
        </w:tc>
      </w:tr>
      <w:tr w:rsidR="00EF55E4" w:rsidRPr="003E130A" w:rsidTr="00E419AB">
        <w:trPr>
          <w:trHeight w:val="300"/>
        </w:trPr>
        <w:tc>
          <w:tcPr>
            <w:tcW w:w="2366" w:type="dxa"/>
            <w:tcBorders>
              <w:top w:val="single" w:sz="4" w:space="0" w:color="18B3B9"/>
              <w:left w:val="nil"/>
              <w:bottom w:val="single" w:sz="8" w:space="0" w:color="18B3B9"/>
              <w:right w:val="nil"/>
            </w:tcBorders>
            <w:shd w:val="clear" w:color="auto" w:fill="auto"/>
            <w:vAlign w:val="center"/>
            <w:hideMark/>
          </w:tcPr>
          <w:p w:rsidR="00EF55E4" w:rsidRPr="003E130A" w:rsidRDefault="00E057F0" w:rsidP="00EF55E4">
            <w:pPr>
              <w:widowControl/>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INGRESOS DE OPERACIÓN</w:t>
            </w:r>
          </w:p>
        </w:tc>
        <w:tc>
          <w:tcPr>
            <w:tcW w:w="654"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56.9</w:t>
            </w:r>
          </w:p>
        </w:tc>
        <w:tc>
          <w:tcPr>
            <w:tcW w:w="654"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60.3</w:t>
            </w:r>
          </w:p>
        </w:tc>
        <w:tc>
          <w:tcPr>
            <w:tcW w:w="654" w:type="dxa"/>
            <w:tcBorders>
              <w:top w:val="single" w:sz="4" w:space="0" w:color="18B3B9"/>
              <w:left w:val="nil"/>
              <w:bottom w:val="single" w:sz="8" w:space="0" w:color="18B3B9"/>
              <w:right w:val="nil"/>
            </w:tcBorders>
            <w:shd w:val="clear" w:color="000000" w:fill="F2F2F2"/>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57.0</w:t>
            </w:r>
          </w:p>
        </w:tc>
        <w:tc>
          <w:tcPr>
            <w:tcW w:w="654"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44.6</w:t>
            </w:r>
          </w:p>
        </w:tc>
        <w:tc>
          <w:tcPr>
            <w:tcW w:w="654" w:type="dxa"/>
            <w:tcBorders>
              <w:top w:val="single" w:sz="4" w:space="0" w:color="18B3B9"/>
              <w:left w:val="nil"/>
              <w:bottom w:val="single" w:sz="8" w:space="0" w:color="18B3B9"/>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30.7</w:t>
            </w:r>
          </w:p>
        </w:tc>
        <w:tc>
          <w:tcPr>
            <w:tcW w:w="654" w:type="dxa"/>
            <w:tcBorders>
              <w:top w:val="single" w:sz="4" w:space="0" w:color="18B3B9"/>
              <w:left w:val="nil"/>
              <w:bottom w:val="single" w:sz="8" w:space="0" w:color="18B3B9"/>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24.6</w:t>
            </w:r>
          </w:p>
        </w:tc>
        <w:tc>
          <w:tcPr>
            <w:tcW w:w="776" w:type="dxa"/>
            <w:tcBorders>
              <w:top w:val="single" w:sz="4" w:space="0" w:color="18B3B9"/>
              <w:left w:val="nil"/>
              <w:bottom w:val="single" w:sz="8" w:space="0" w:color="18B3B9"/>
              <w:right w:val="nil"/>
            </w:tcBorders>
            <w:shd w:val="clear" w:color="000000" w:fill="D1F0F1"/>
            <w:noWrap/>
            <w:vAlign w:val="center"/>
            <w:hideMark/>
          </w:tcPr>
          <w:p w:rsidR="00EF55E4" w:rsidRPr="003E130A" w:rsidRDefault="00EF55E4" w:rsidP="00EF55E4">
            <w:pPr>
              <w:jc w:val="right"/>
              <w:rPr>
                <w:rFonts w:ascii="Arial" w:hAnsi="Arial" w:cs="Arial"/>
                <w:b/>
                <w:bCs/>
                <w:color w:val="18B3B9"/>
                <w:sz w:val="16"/>
                <w:szCs w:val="20"/>
              </w:rPr>
            </w:pPr>
            <w:r w:rsidRPr="003E130A">
              <w:rPr>
                <w:rFonts w:ascii="Arial" w:hAnsi="Arial" w:cs="Arial"/>
                <w:b/>
                <w:bCs/>
                <w:color w:val="18B3B9"/>
                <w:sz w:val="16"/>
                <w:szCs w:val="20"/>
              </w:rPr>
              <w:t>40.3</w:t>
            </w:r>
          </w:p>
        </w:tc>
        <w:tc>
          <w:tcPr>
            <w:tcW w:w="236" w:type="dxa"/>
            <w:tcBorders>
              <w:top w:val="nil"/>
              <w:left w:val="nil"/>
              <w:bottom w:val="nil"/>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p>
        </w:tc>
        <w:tc>
          <w:tcPr>
            <w:tcW w:w="884"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(29.3)%</w:t>
            </w:r>
          </w:p>
        </w:tc>
        <w:tc>
          <w:tcPr>
            <w:tcW w:w="745" w:type="dxa"/>
            <w:tcBorders>
              <w:top w:val="single" w:sz="4" w:space="0" w:color="18B3B9"/>
              <w:left w:val="nil"/>
              <w:bottom w:val="single" w:sz="8" w:space="0" w:color="18B3B9"/>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(33.2)%</w:t>
            </w:r>
          </w:p>
        </w:tc>
      </w:tr>
      <w:tr w:rsidR="00EF55E4" w:rsidRPr="003E130A" w:rsidTr="00E419AB">
        <w:trPr>
          <w:trHeight w:val="345"/>
        </w:trPr>
        <w:tc>
          <w:tcPr>
            <w:tcW w:w="2366" w:type="dxa"/>
            <w:tcBorders>
              <w:top w:val="single" w:sz="4" w:space="0" w:color="18B3B9"/>
              <w:left w:val="nil"/>
              <w:bottom w:val="single" w:sz="8" w:space="0" w:color="18B3B9"/>
              <w:right w:val="nil"/>
            </w:tcBorders>
            <w:shd w:val="clear" w:color="auto" w:fill="auto"/>
            <w:vAlign w:val="center"/>
            <w:hideMark/>
          </w:tcPr>
          <w:p w:rsidR="00EF55E4" w:rsidRPr="003E130A" w:rsidRDefault="00E057F0" w:rsidP="00EF55E4">
            <w:pPr>
              <w:widowControl/>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INGRESOS NETOS</w:t>
            </w:r>
          </w:p>
        </w:tc>
        <w:tc>
          <w:tcPr>
            <w:tcW w:w="654"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36.4</w:t>
            </w:r>
          </w:p>
        </w:tc>
        <w:tc>
          <w:tcPr>
            <w:tcW w:w="654"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42.2</w:t>
            </w:r>
          </w:p>
        </w:tc>
        <w:tc>
          <w:tcPr>
            <w:tcW w:w="654" w:type="dxa"/>
            <w:tcBorders>
              <w:top w:val="single" w:sz="4" w:space="0" w:color="18B3B9"/>
              <w:left w:val="nil"/>
              <w:bottom w:val="single" w:sz="8" w:space="0" w:color="18B3B9"/>
              <w:right w:val="nil"/>
            </w:tcBorders>
            <w:shd w:val="clear" w:color="000000" w:fill="F2F2F2"/>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38.8</w:t>
            </w:r>
          </w:p>
        </w:tc>
        <w:tc>
          <w:tcPr>
            <w:tcW w:w="654"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29.4</w:t>
            </w:r>
          </w:p>
        </w:tc>
        <w:tc>
          <w:tcPr>
            <w:tcW w:w="654" w:type="dxa"/>
            <w:tcBorders>
              <w:top w:val="single" w:sz="4" w:space="0" w:color="18B3B9"/>
              <w:left w:val="nil"/>
              <w:bottom w:val="single" w:sz="8" w:space="0" w:color="18B3B9"/>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12.7</w:t>
            </w:r>
          </w:p>
        </w:tc>
        <w:tc>
          <w:tcPr>
            <w:tcW w:w="654" w:type="dxa"/>
            <w:tcBorders>
              <w:top w:val="single" w:sz="4" w:space="0" w:color="18B3B9"/>
              <w:left w:val="nil"/>
              <w:bottom w:val="single" w:sz="8" w:space="0" w:color="18B3B9"/>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11.3</w:t>
            </w:r>
          </w:p>
        </w:tc>
        <w:tc>
          <w:tcPr>
            <w:tcW w:w="776" w:type="dxa"/>
            <w:tcBorders>
              <w:top w:val="single" w:sz="4" w:space="0" w:color="18B3B9"/>
              <w:left w:val="nil"/>
              <w:bottom w:val="single" w:sz="8" w:space="0" w:color="18B3B9"/>
              <w:right w:val="nil"/>
            </w:tcBorders>
            <w:shd w:val="clear" w:color="000000" w:fill="D1F0F1"/>
            <w:noWrap/>
            <w:vAlign w:val="center"/>
            <w:hideMark/>
          </w:tcPr>
          <w:p w:rsidR="00EF55E4" w:rsidRPr="003E130A" w:rsidRDefault="00EF55E4" w:rsidP="00EF55E4">
            <w:pPr>
              <w:jc w:val="right"/>
              <w:rPr>
                <w:rFonts w:ascii="Arial" w:hAnsi="Arial" w:cs="Arial"/>
                <w:b/>
                <w:bCs/>
                <w:color w:val="18B3B9"/>
                <w:sz w:val="16"/>
                <w:szCs w:val="20"/>
              </w:rPr>
            </w:pPr>
            <w:r w:rsidRPr="003E130A">
              <w:rPr>
                <w:rFonts w:ascii="Arial" w:hAnsi="Arial" w:cs="Arial"/>
                <w:b/>
                <w:bCs/>
                <w:color w:val="18B3B9"/>
                <w:sz w:val="16"/>
                <w:szCs w:val="20"/>
              </w:rPr>
              <w:t>28.5</w:t>
            </w:r>
          </w:p>
        </w:tc>
        <w:tc>
          <w:tcPr>
            <w:tcW w:w="236" w:type="dxa"/>
            <w:tcBorders>
              <w:top w:val="nil"/>
              <w:left w:val="nil"/>
              <w:bottom w:val="nil"/>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p>
        </w:tc>
        <w:tc>
          <w:tcPr>
            <w:tcW w:w="884"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(26.7)%</w:t>
            </w:r>
          </w:p>
        </w:tc>
        <w:tc>
          <w:tcPr>
            <w:tcW w:w="745" w:type="dxa"/>
            <w:tcBorders>
              <w:top w:val="single" w:sz="4" w:space="0" w:color="18B3B9"/>
              <w:left w:val="nil"/>
              <w:bottom w:val="single" w:sz="8" w:space="0" w:color="18B3B9"/>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(31.2)%</w:t>
            </w:r>
          </w:p>
        </w:tc>
      </w:tr>
      <w:tr w:rsidR="00E419AB" w:rsidRPr="003E130A" w:rsidTr="00E419AB">
        <w:trPr>
          <w:trHeight w:val="330"/>
        </w:trPr>
        <w:tc>
          <w:tcPr>
            <w:tcW w:w="2366" w:type="dxa"/>
            <w:tcBorders>
              <w:top w:val="nil"/>
              <w:left w:val="nil"/>
              <w:bottom w:val="nil"/>
              <w:right w:val="nil"/>
            </w:tcBorders>
            <w:shd w:val="clear" w:color="auto" w:fill="auto"/>
            <w:vAlign w:val="center"/>
            <w:hideMark/>
          </w:tcPr>
          <w:p w:rsidR="00E419AB" w:rsidRPr="003E130A" w:rsidRDefault="00E057F0" w:rsidP="00E419AB">
            <w:pPr>
              <w:widowControl/>
              <w:rPr>
                <w:rFonts w:ascii="Arial" w:eastAsia="Times New Roman" w:hAnsi="Arial" w:cs="Arial"/>
                <w:i/>
                <w:iCs/>
                <w:color w:val="808080"/>
                <w:sz w:val="14"/>
                <w:szCs w:val="16"/>
                <w:lang w:val="es-ES"/>
              </w:rPr>
            </w:pPr>
            <w:r w:rsidRPr="003E130A">
              <w:rPr>
                <w:rFonts w:ascii="Arial" w:eastAsia="Times New Roman" w:hAnsi="Arial" w:cs="Arial"/>
                <w:i/>
                <w:iCs/>
                <w:color w:val="808080"/>
                <w:sz w:val="14"/>
                <w:szCs w:val="16"/>
                <w:lang w:val="es-ES"/>
              </w:rPr>
              <w:t>Tasa de impuesto a la renta</w:t>
            </w:r>
          </w:p>
        </w:tc>
        <w:tc>
          <w:tcPr>
            <w:tcW w:w="654"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i/>
                <w:iCs/>
                <w:color w:val="808080"/>
                <w:sz w:val="14"/>
                <w:szCs w:val="16"/>
              </w:rPr>
            </w:pPr>
            <w:r w:rsidRPr="003E130A">
              <w:rPr>
                <w:rFonts w:ascii="Arial" w:eastAsia="Times New Roman" w:hAnsi="Arial" w:cs="Arial"/>
                <w:i/>
                <w:iCs/>
                <w:color w:val="808080"/>
                <w:sz w:val="14"/>
                <w:szCs w:val="16"/>
              </w:rPr>
              <w:t>29.4%</w:t>
            </w:r>
          </w:p>
        </w:tc>
        <w:tc>
          <w:tcPr>
            <w:tcW w:w="654"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i/>
                <w:iCs/>
                <w:color w:val="808080"/>
                <w:sz w:val="14"/>
                <w:szCs w:val="16"/>
              </w:rPr>
            </w:pPr>
            <w:r w:rsidRPr="003E130A">
              <w:rPr>
                <w:rFonts w:ascii="Arial" w:eastAsia="Times New Roman" w:hAnsi="Arial" w:cs="Arial"/>
                <w:i/>
                <w:iCs/>
                <w:color w:val="808080"/>
                <w:sz w:val="14"/>
                <w:szCs w:val="16"/>
              </w:rPr>
              <w:t>28.9%</w:t>
            </w:r>
          </w:p>
        </w:tc>
        <w:tc>
          <w:tcPr>
            <w:tcW w:w="654" w:type="dxa"/>
            <w:tcBorders>
              <w:top w:val="nil"/>
              <w:left w:val="nil"/>
              <w:bottom w:val="nil"/>
              <w:right w:val="nil"/>
            </w:tcBorders>
            <w:shd w:val="clear" w:color="000000" w:fill="F2F2F2"/>
            <w:noWrap/>
            <w:vAlign w:val="center"/>
            <w:hideMark/>
          </w:tcPr>
          <w:p w:rsidR="00E419AB" w:rsidRPr="003E130A" w:rsidRDefault="00E419AB" w:rsidP="00E419AB">
            <w:pPr>
              <w:widowControl/>
              <w:jc w:val="right"/>
              <w:rPr>
                <w:rFonts w:ascii="Arial" w:eastAsia="Times New Roman" w:hAnsi="Arial" w:cs="Arial"/>
                <w:i/>
                <w:iCs/>
                <w:color w:val="808080"/>
                <w:sz w:val="14"/>
                <w:szCs w:val="16"/>
              </w:rPr>
            </w:pPr>
            <w:r w:rsidRPr="003E130A">
              <w:rPr>
                <w:rFonts w:ascii="Arial" w:eastAsia="Times New Roman" w:hAnsi="Arial" w:cs="Arial"/>
                <w:i/>
                <w:iCs/>
                <w:color w:val="808080"/>
                <w:sz w:val="14"/>
                <w:szCs w:val="16"/>
              </w:rPr>
              <w:t>25.0%</w:t>
            </w:r>
          </w:p>
        </w:tc>
        <w:tc>
          <w:tcPr>
            <w:tcW w:w="654"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i/>
                <w:iCs/>
                <w:color w:val="808080"/>
                <w:sz w:val="14"/>
                <w:szCs w:val="16"/>
              </w:rPr>
            </w:pPr>
            <w:r w:rsidRPr="003E130A">
              <w:rPr>
                <w:rFonts w:ascii="Arial" w:eastAsia="Times New Roman" w:hAnsi="Arial" w:cs="Arial"/>
                <w:i/>
                <w:iCs/>
                <w:color w:val="808080"/>
                <w:sz w:val="14"/>
                <w:szCs w:val="16"/>
              </w:rPr>
              <w:t>29.1%</w:t>
            </w:r>
          </w:p>
        </w:tc>
        <w:tc>
          <w:tcPr>
            <w:tcW w:w="654" w:type="dxa"/>
            <w:tcBorders>
              <w:top w:val="nil"/>
              <w:left w:val="nil"/>
              <w:bottom w:val="nil"/>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i/>
                <w:iCs/>
                <w:color w:val="808080"/>
                <w:sz w:val="14"/>
                <w:szCs w:val="16"/>
              </w:rPr>
            </w:pPr>
            <w:r w:rsidRPr="003E130A">
              <w:rPr>
                <w:rFonts w:ascii="Arial" w:eastAsia="Times New Roman" w:hAnsi="Arial" w:cs="Arial"/>
                <w:i/>
                <w:iCs/>
                <w:color w:val="808080"/>
                <w:sz w:val="14"/>
                <w:szCs w:val="16"/>
              </w:rPr>
              <w:t>50.5%</w:t>
            </w:r>
          </w:p>
        </w:tc>
        <w:tc>
          <w:tcPr>
            <w:tcW w:w="654" w:type="dxa"/>
            <w:tcBorders>
              <w:top w:val="nil"/>
              <w:left w:val="nil"/>
              <w:bottom w:val="nil"/>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i/>
                <w:iCs/>
                <w:color w:val="808080"/>
                <w:sz w:val="14"/>
                <w:szCs w:val="16"/>
              </w:rPr>
            </w:pPr>
            <w:r w:rsidRPr="003E130A">
              <w:rPr>
                <w:rFonts w:ascii="Arial" w:eastAsia="Times New Roman" w:hAnsi="Arial" w:cs="Arial"/>
                <w:i/>
                <w:iCs/>
                <w:color w:val="808080"/>
                <w:sz w:val="14"/>
                <w:szCs w:val="16"/>
              </w:rPr>
              <w:t>39.9%</w:t>
            </w:r>
          </w:p>
        </w:tc>
        <w:tc>
          <w:tcPr>
            <w:tcW w:w="776"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i/>
                <w:iCs/>
                <w:color w:val="808080"/>
                <w:sz w:val="14"/>
                <w:szCs w:val="16"/>
              </w:rPr>
            </w:pPr>
            <w:r w:rsidRPr="003E130A">
              <w:rPr>
                <w:rFonts w:ascii="Arial" w:eastAsia="Times New Roman" w:hAnsi="Arial" w:cs="Arial"/>
                <w:i/>
                <w:iCs/>
                <w:color w:val="808080"/>
                <w:sz w:val="14"/>
                <w:szCs w:val="16"/>
              </w:rPr>
              <w:t>42.4%</w:t>
            </w:r>
          </w:p>
        </w:tc>
        <w:tc>
          <w:tcPr>
            <w:tcW w:w="236"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i/>
                <w:iCs/>
                <w:color w:val="808080"/>
                <w:sz w:val="14"/>
                <w:szCs w:val="16"/>
              </w:rPr>
            </w:pPr>
          </w:p>
        </w:tc>
        <w:tc>
          <w:tcPr>
            <w:tcW w:w="884" w:type="dxa"/>
            <w:tcBorders>
              <w:top w:val="nil"/>
              <w:left w:val="nil"/>
              <w:bottom w:val="nil"/>
              <w:right w:val="nil"/>
            </w:tcBorders>
            <w:shd w:val="clear" w:color="auto" w:fill="auto"/>
            <w:noWrap/>
            <w:vAlign w:val="center"/>
            <w:hideMark/>
          </w:tcPr>
          <w:p w:rsidR="00E419AB" w:rsidRPr="003E130A" w:rsidRDefault="00A154B2" w:rsidP="00A154B2">
            <w:pPr>
              <w:widowControl/>
              <w:jc w:val="right"/>
              <w:rPr>
                <w:rFonts w:ascii="Arial" w:eastAsia="Times New Roman" w:hAnsi="Arial" w:cs="Arial"/>
                <w:i/>
                <w:iCs/>
                <w:color w:val="18B3B9"/>
                <w:sz w:val="14"/>
                <w:szCs w:val="16"/>
              </w:rPr>
            </w:pPr>
            <w:r w:rsidRPr="003E130A">
              <w:rPr>
                <w:rFonts w:ascii="Arial" w:eastAsia="Times New Roman" w:hAnsi="Arial" w:cs="Arial"/>
                <w:i/>
                <w:iCs/>
                <w:color w:val="18B3B9"/>
                <w:sz w:val="14"/>
                <w:szCs w:val="16"/>
              </w:rPr>
              <w:t>+</w:t>
            </w:r>
            <w:r w:rsidR="00E419AB" w:rsidRPr="003E130A">
              <w:rPr>
                <w:rFonts w:ascii="Arial" w:eastAsia="Times New Roman" w:hAnsi="Arial" w:cs="Arial"/>
                <w:i/>
                <w:iCs/>
                <w:color w:val="18B3B9"/>
                <w:sz w:val="14"/>
                <w:szCs w:val="16"/>
              </w:rPr>
              <w:t xml:space="preserve">17.4 </w:t>
            </w:r>
            <w:proofErr w:type="spellStart"/>
            <w:r w:rsidR="00E419AB" w:rsidRPr="003E130A">
              <w:rPr>
                <w:rFonts w:ascii="Arial" w:eastAsia="Times New Roman" w:hAnsi="Arial" w:cs="Arial"/>
                <w:i/>
                <w:iCs/>
                <w:color w:val="18B3B9"/>
                <w:sz w:val="14"/>
                <w:szCs w:val="16"/>
              </w:rPr>
              <w:t>ppts</w:t>
            </w:r>
            <w:proofErr w:type="spellEnd"/>
          </w:p>
        </w:tc>
        <w:tc>
          <w:tcPr>
            <w:tcW w:w="745"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i/>
                <w:iCs/>
                <w:color w:val="18B3B9"/>
                <w:sz w:val="14"/>
                <w:szCs w:val="16"/>
              </w:rPr>
            </w:pPr>
          </w:p>
        </w:tc>
      </w:tr>
    </w:tbl>
    <w:p w:rsidR="00344720" w:rsidRPr="003E130A" w:rsidRDefault="00344720" w:rsidP="00DB6ED7">
      <w:pPr>
        <w:widowControl/>
        <w:rPr>
          <w:rFonts w:ascii="Arial" w:hAnsi="Arial" w:cs="Arial"/>
          <w:bCs/>
          <w:sz w:val="20"/>
          <w:szCs w:val="20"/>
          <w:u w:val="single"/>
          <w:lang w:val="en-US"/>
        </w:rPr>
      </w:pPr>
    </w:p>
    <w:p w:rsidR="00344720" w:rsidRPr="003E130A" w:rsidRDefault="00344720" w:rsidP="00DB6ED7">
      <w:pPr>
        <w:widowControl/>
        <w:rPr>
          <w:rFonts w:ascii="Arial" w:hAnsi="Arial" w:cs="Arial"/>
          <w:bCs/>
          <w:sz w:val="20"/>
          <w:szCs w:val="20"/>
          <w:u w:val="single"/>
          <w:lang w:val="en-US"/>
        </w:rPr>
      </w:pPr>
    </w:p>
    <w:p w:rsidR="00DB6ED7" w:rsidRPr="003E130A" w:rsidRDefault="00E057F0" w:rsidP="00DB6ED7">
      <w:pPr>
        <w:widowControl/>
        <w:rPr>
          <w:rFonts w:ascii="Arial" w:hAnsi="Arial" w:cs="Arial"/>
          <w:bCs/>
          <w:sz w:val="20"/>
          <w:szCs w:val="20"/>
          <w:u w:val="single"/>
          <w:lang w:val="en-US"/>
        </w:rPr>
      </w:pPr>
      <w:proofErr w:type="spellStart"/>
      <w:r w:rsidRPr="003E130A">
        <w:rPr>
          <w:rFonts w:ascii="Arial" w:hAnsi="Arial" w:cs="Arial"/>
          <w:bCs/>
          <w:sz w:val="20"/>
          <w:szCs w:val="20"/>
          <w:u w:val="single"/>
          <w:lang w:val="en-US"/>
        </w:rPr>
        <w:t>Resultados</w:t>
      </w:r>
      <w:proofErr w:type="spellEnd"/>
      <w:r w:rsidRPr="003E130A">
        <w:rPr>
          <w:rFonts w:ascii="Arial" w:hAnsi="Arial" w:cs="Arial"/>
          <w:bCs/>
          <w:sz w:val="20"/>
          <w:szCs w:val="20"/>
          <w:u w:val="single"/>
          <w:lang w:val="en-US"/>
        </w:rPr>
        <w:t xml:space="preserve"> </w:t>
      </w:r>
      <w:proofErr w:type="spellStart"/>
      <w:r w:rsidRPr="003E130A">
        <w:rPr>
          <w:rFonts w:ascii="Arial" w:hAnsi="Arial" w:cs="Arial"/>
          <w:bCs/>
          <w:sz w:val="20"/>
          <w:szCs w:val="20"/>
          <w:u w:val="single"/>
          <w:lang w:val="en-US"/>
        </w:rPr>
        <w:t>acumulados</w:t>
      </w:r>
      <w:proofErr w:type="spellEnd"/>
    </w:p>
    <w:p w:rsidR="008824D7" w:rsidRPr="003E130A" w:rsidRDefault="008824D7" w:rsidP="00DB6ED7">
      <w:pPr>
        <w:widowControl/>
        <w:rPr>
          <w:rFonts w:ascii="Arial" w:hAnsi="Arial" w:cs="Arial"/>
          <w:bCs/>
          <w:sz w:val="20"/>
          <w:szCs w:val="20"/>
          <w:u w:val="single"/>
          <w:lang w:val="en-US"/>
        </w:rPr>
      </w:pPr>
    </w:p>
    <w:tbl>
      <w:tblPr>
        <w:tblW w:w="9072" w:type="dxa"/>
        <w:tblInd w:w="108" w:type="dxa"/>
        <w:tblLook w:val="04A0" w:firstRow="1" w:lastRow="0" w:firstColumn="1" w:lastColumn="0" w:noHBand="0" w:noVBand="1"/>
      </w:tblPr>
      <w:tblGrid>
        <w:gridCol w:w="2271"/>
        <w:gridCol w:w="654"/>
        <w:gridCol w:w="647"/>
        <w:gridCol w:w="750"/>
        <w:gridCol w:w="776"/>
        <w:gridCol w:w="654"/>
        <w:gridCol w:w="647"/>
        <w:gridCol w:w="776"/>
        <w:gridCol w:w="236"/>
        <w:gridCol w:w="884"/>
        <w:gridCol w:w="777"/>
      </w:tblGrid>
      <w:tr w:rsidR="00E419AB" w:rsidRPr="003E130A" w:rsidTr="00E419AB">
        <w:trPr>
          <w:trHeight w:val="630"/>
        </w:trPr>
        <w:tc>
          <w:tcPr>
            <w:tcW w:w="2366" w:type="dxa"/>
            <w:tcBorders>
              <w:top w:val="nil"/>
              <w:left w:val="nil"/>
              <w:bottom w:val="nil"/>
              <w:right w:val="nil"/>
            </w:tcBorders>
            <w:shd w:val="clear" w:color="000000" w:fill="03365F"/>
            <w:vAlign w:val="center"/>
            <w:hideMark/>
          </w:tcPr>
          <w:p w:rsidR="00E419AB" w:rsidRPr="003E130A" w:rsidRDefault="00E057F0" w:rsidP="00E419AB">
            <w:pPr>
              <w:widowControl/>
              <w:rPr>
                <w:rFonts w:ascii="Arial" w:eastAsia="Times New Roman" w:hAnsi="Arial" w:cs="Arial"/>
                <w:b/>
                <w:bCs/>
                <w:color w:val="FFFFFF"/>
                <w:sz w:val="16"/>
                <w:szCs w:val="16"/>
                <w:lang w:val="es-ES"/>
              </w:rPr>
            </w:pPr>
            <w:r w:rsidRPr="003E130A">
              <w:rPr>
                <w:rFonts w:ascii="Arial" w:eastAsia="Times New Roman" w:hAnsi="Arial" w:cs="Arial"/>
                <w:b/>
                <w:bCs/>
                <w:color w:val="FFFFFF"/>
                <w:sz w:val="16"/>
                <w:szCs w:val="16"/>
                <w:lang w:val="es-ES"/>
              </w:rPr>
              <w:t>Partidas de la cuenta de resultados en €m - cifras acumuladas</w:t>
            </w:r>
          </w:p>
        </w:tc>
        <w:tc>
          <w:tcPr>
            <w:tcW w:w="654" w:type="dxa"/>
            <w:tcBorders>
              <w:top w:val="nil"/>
              <w:left w:val="nil"/>
              <w:bottom w:val="nil"/>
              <w:right w:val="nil"/>
            </w:tcBorders>
            <w:shd w:val="clear" w:color="000000" w:fill="03365F"/>
            <w:noWrap/>
            <w:vAlign w:val="center"/>
            <w:hideMark/>
          </w:tcPr>
          <w:p w:rsidR="00E419AB" w:rsidRPr="003E130A" w:rsidRDefault="00E419AB" w:rsidP="00E419AB">
            <w:pPr>
              <w:widowControl/>
              <w:jc w:val="center"/>
              <w:rPr>
                <w:rFonts w:ascii="Arial" w:eastAsia="Times New Roman" w:hAnsi="Arial" w:cs="Arial"/>
                <w:b/>
                <w:bCs/>
                <w:color w:val="FFFFFF"/>
                <w:sz w:val="16"/>
                <w:szCs w:val="16"/>
              </w:rPr>
            </w:pPr>
            <w:r w:rsidRPr="003E130A">
              <w:rPr>
                <w:rFonts w:ascii="Arial" w:eastAsia="Times New Roman" w:hAnsi="Arial" w:cs="Arial"/>
                <w:b/>
                <w:bCs/>
                <w:color w:val="FFFFFF"/>
                <w:sz w:val="16"/>
                <w:szCs w:val="16"/>
              </w:rPr>
              <w:t>Q1-19</w:t>
            </w:r>
          </w:p>
        </w:tc>
        <w:tc>
          <w:tcPr>
            <w:tcW w:w="647" w:type="dxa"/>
            <w:tcBorders>
              <w:top w:val="nil"/>
              <w:left w:val="nil"/>
              <w:bottom w:val="nil"/>
              <w:right w:val="nil"/>
            </w:tcBorders>
            <w:shd w:val="clear" w:color="000000" w:fill="03365F"/>
            <w:noWrap/>
            <w:vAlign w:val="center"/>
            <w:hideMark/>
          </w:tcPr>
          <w:p w:rsidR="00E419AB" w:rsidRPr="003E130A" w:rsidRDefault="00E419AB" w:rsidP="00E419AB">
            <w:pPr>
              <w:widowControl/>
              <w:jc w:val="center"/>
              <w:rPr>
                <w:rFonts w:ascii="Arial" w:eastAsia="Times New Roman" w:hAnsi="Arial" w:cs="Arial"/>
                <w:b/>
                <w:bCs/>
                <w:color w:val="FFFFFF"/>
                <w:sz w:val="16"/>
                <w:szCs w:val="16"/>
              </w:rPr>
            </w:pPr>
            <w:r w:rsidRPr="003E130A">
              <w:rPr>
                <w:rFonts w:ascii="Arial" w:eastAsia="Times New Roman" w:hAnsi="Arial" w:cs="Arial"/>
                <w:b/>
                <w:bCs/>
                <w:color w:val="FFFFFF"/>
                <w:sz w:val="16"/>
                <w:szCs w:val="16"/>
              </w:rPr>
              <w:t>H1-19</w:t>
            </w:r>
          </w:p>
        </w:tc>
        <w:tc>
          <w:tcPr>
            <w:tcW w:w="727" w:type="dxa"/>
            <w:tcBorders>
              <w:top w:val="nil"/>
              <w:left w:val="nil"/>
              <w:bottom w:val="nil"/>
              <w:right w:val="nil"/>
            </w:tcBorders>
            <w:shd w:val="clear" w:color="000000" w:fill="03365F"/>
            <w:noWrap/>
            <w:vAlign w:val="center"/>
            <w:hideMark/>
          </w:tcPr>
          <w:p w:rsidR="00E419AB" w:rsidRPr="003E130A" w:rsidRDefault="00E419AB" w:rsidP="00E419AB">
            <w:pPr>
              <w:widowControl/>
              <w:jc w:val="center"/>
              <w:rPr>
                <w:rFonts w:ascii="Arial" w:eastAsia="Times New Roman" w:hAnsi="Arial" w:cs="Arial"/>
                <w:b/>
                <w:bCs/>
                <w:color w:val="FFFFFF"/>
                <w:sz w:val="16"/>
                <w:szCs w:val="16"/>
              </w:rPr>
            </w:pPr>
            <w:r w:rsidRPr="003E130A">
              <w:rPr>
                <w:rFonts w:ascii="Arial" w:eastAsia="Times New Roman" w:hAnsi="Arial" w:cs="Arial"/>
                <w:b/>
                <w:bCs/>
                <w:color w:val="FFFFFF"/>
                <w:sz w:val="16"/>
                <w:szCs w:val="16"/>
              </w:rPr>
              <w:t>9M-19</w:t>
            </w:r>
          </w:p>
        </w:tc>
        <w:tc>
          <w:tcPr>
            <w:tcW w:w="776" w:type="dxa"/>
            <w:tcBorders>
              <w:top w:val="nil"/>
              <w:left w:val="nil"/>
              <w:bottom w:val="nil"/>
              <w:right w:val="nil"/>
            </w:tcBorders>
            <w:shd w:val="clear" w:color="000000" w:fill="03365F"/>
            <w:noWrap/>
            <w:vAlign w:val="center"/>
            <w:hideMark/>
          </w:tcPr>
          <w:p w:rsidR="00E419AB" w:rsidRPr="003E130A" w:rsidRDefault="00E419AB" w:rsidP="00E419AB">
            <w:pPr>
              <w:widowControl/>
              <w:jc w:val="center"/>
              <w:rPr>
                <w:rFonts w:ascii="Arial" w:eastAsia="Times New Roman" w:hAnsi="Arial" w:cs="Arial"/>
                <w:b/>
                <w:bCs/>
                <w:color w:val="FFFFFF"/>
                <w:sz w:val="16"/>
                <w:szCs w:val="16"/>
              </w:rPr>
            </w:pPr>
            <w:r w:rsidRPr="003E130A">
              <w:rPr>
                <w:rFonts w:ascii="Arial" w:eastAsia="Times New Roman" w:hAnsi="Arial" w:cs="Arial"/>
                <w:b/>
                <w:bCs/>
                <w:color w:val="FFFFFF"/>
                <w:sz w:val="16"/>
                <w:szCs w:val="16"/>
              </w:rPr>
              <w:t>FY-19</w:t>
            </w:r>
          </w:p>
        </w:tc>
        <w:tc>
          <w:tcPr>
            <w:tcW w:w="654" w:type="dxa"/>
            <w:tcBorders>
              <w:top w:val="nil"/>
              <w:left w:val="nil"/>
              <w:bottom w:val="nil"/>
              <w:right w:val="nil"/>
            </w:tcBorders>
            <w:shd w:val="clear" w:color="000000" w:fill="03365F"/>
            <w:noWrap/>
            <w:vAlign w:val="center"/>
            <w:hideMark/>
          </w:tcPr>
          <w:p w:rsidR="00E419AB" w:rsidRPr="003E130A" w:rsidRDefault="00E419AB" w:rsidP="00E419AB">
            <w:pPr>
              <w:widowControl/>
              <w:jc w:val="center"/>
              <w:rPr>
                <w:rFonts w:ascii="Arial" w:eastAsia="Times New Roman" w:hAnsi="Arial" w:cs="Arial"/>
                <w:b/>
                <w:bCs/>
                <w:color w:val="FFFFFF"/>
                <w:sz w:val="16"/>
                <w:szCs w:val="16"/>
              </w:rPr>
            </w:pPr>
            <w:r w:rsidRPr="003E130A">
              <w:rPr>
                <w:rFonts w:ascii="Arial" w:eastAsia="Times New Roman" w:hAnsi="Arial" w:cs="Arial"/>
                <w:b/>
                <w:bCs/>
                <w:color w:val="FFFFFF"/>
                <w:sz w:val="16"/>
                <w:szCs w:val="16"/>
              </w:rPr>
              <w:t>Q1-20</w:t>
            </w:r>
          </w:p>
        </w:tc>
        <w:tc>
          <w:tcPr>
            <w:tcW w:w="647" w:type="dxa"/>
            <w:tcBorders>
              <w:top w:val="nil"/>
              <w:left w:val="nil"/>
              <w:bottom w:val="nil"/>
              <w:right w:val="nil"/>
            </w:tcBorders>
            <w:shd w:val="clear" w:color="000000" w:fill="03365F"/>
            <w:noWrap/>
            <w:vAlign w:val="center"/>
            <w:hideMark/>
          </w:tcPr>
          <w:p w:rsidR="00E419AB" w:rsidRPr="003E130A" w:rsidRDefault="00E419AB" w:rsidP="00E419AB">
            <w:pPr>
              <w:widowControl/>
              <w:jc w:val="center"/>
              <w:rPr>
                <w:rFonts w:ascii="Arial" w:eastAsia="Times New Roman" w:hAnsi="Arial" w:cs="Arial"/>
                <w:b/>
                <w:bCs/>
                <w:color w:val="FFFFFF"/>
                <w:sz w:val="16"/>
                <w:szCs w:val="16"/>
              </w:rPr>
            </w:pPr>
            <w:r w:rsidRPr="003E130A">
              <w:rPr>
                <w:rFonts w:ascii="Arial" w:eastAsia="Times New Roman" w:hAnsi="Arial" w:cs="Arial"/>
                <w:b/>
                <w:bCs/>
                <w:color w:val="FFFFFF"/>
                <w:sz w:val="16"/>
                <w:szCs w:val="16"/>
              </w:rPr>
              <w:t>H1-20</w:t>
            </w:r>
          </w:p>
        </w:tc>
        <w:tc>
          <w:tcPr>
            <w:tcW w:w="776" w:type="dxa"/>
            <w:tcBorders>
              <w:top w:val="nil"/>
              <w:left w:val="nil"/>
              <w:bottom w:val="nil"/>
              <w:right w:val="nil"/>
            </w:tcBorders>
            <w:shd w:val="clear" w:color="000000" w:fill="18B3B9"/>
            <w:noWrap/>
            <w:vAlign w:val="center"/>
            <w:hideMark/>
          </w:tcPr>
          <w:p w:rsidR="00E419AB" w:rsidRPr="003E130A" w:rsidRDefault="00E419AB" w:rsidP="00E419AB">
            <w:pPr>
              <w:widowControl/>
              <w:jc w:val="center"/>
              <w:rPr>
                <w:rFonts w:ascii="Arial" w:eastAsia="Times New Roman" w:hAnsi="Arial" w:cs="Arial"/>
                <w:b/>
                <w:bCs/>
                <w:color w:val="FFFFFF"/>
                <w:sz w:val="16"/>
                <w:szCs w:val="16"/>
              </w:rPr>
            </w:pPr>
            <w:r w:rsidRPr="003E130A">
              <w:rPr>
                <w:rFonts w:ascii="Arial" w:eastAsia="Times New Roman" w:hAnsi="Arial" w:cs="Arial"/>
                <w:b/>
                <w:bCs/>
                <w:color w:val="FFFFFF"/>
                <w:sz w:val="16"/>
                <w:szCs w:val="16"/>
              </w:rPr>
              <w:t>9M-20</w:t>
            </w:r>
          </w:p>
        </w:tc>
        <w:tc>
          <w:tcPr>
            <w:tcW w:w="236" w:type="dxa"/>
            <w:tcBorders>
              <w:top w:val="nil"/>
              <w:left w:val="nil"/>
              <w:bottom w:val="nil"/>
              <w:right w:val="nil"/>
            </w:tcBorders>
            <w:shd w:val="clear" w:color="auto" w:fill="auto"/>
            <w:noWrap/>
            <w:vAlign w:val="center"/>
            <w:hideMark/>
          </w:tcPr>
          <w:p w:rsidR="00E419AB" w:rsidRPr="003E130A" w:rsidRDefault="00E419AB" w:rsidP="00E419AB">
            <w:pPr>
              <w:widowControl/>
              <w:jc w:val="center"/>
              <w:rPr>
                <w:rFonts w:ascii="Arial" w:eastAsia="Times New Roman" w:hAnsi="Arial" w:cs="Arial"/>
                <w:b/>
                <w:bCs/>
                <w:color w:val="FFFFFF"/>
                <w:sz w:val="16"/>
                <w:szCs w:val="16"/>
              </w:rPr>
            </w:pPr>
          </w:p>
        </w:tc>
        <w:tc>
          <w:tcPr>
            <w:tcW w:w="884" w:type="dxa"/>
            <w:tcBorders>
              <w:top w:val="nil"/>
              <w:left w:val="nil"/>
              <w:bottom w:val="nil"/>
              <w:right w:val="nil"/>
            </w:tcBorders>
            <w:shd w:val="clear" w:color="000000" w:fill="03365F"/>
            <w:noWrap/>
            <w:vAlign w:val="center"/>
            <w:hideMark/>
          </w:tcPr>
          <w:p w:rsidR="00E419AB" w:rsidRPr="003E130A" w:rsidRDefault="00E419AB" w:rsidP="00E419AB">
            <w:pPr>
              <w:widowControl/>
              <w:jc w:val="center"/>
              <w:rPr>
                <w:rFonts w:ascii="Arial" w:eastAsia="Times New Roman" w:hAnsi="Arial" w:cs="Arial"/>
                <w:b/>
                <w:bCs/>
                <w:color w:val="FFFFFF"/>
                <w:sz w:val="16"/>
                <w:szCs w:val="16"/>
              </w:rPr>
            </w:pPr>
            <w:r w:rsidRPr="003E130A">
              <w:rPr>
                <w:rFonts w:ascii="Arial" w:eastAsia="Times New Roman" w:hAnsi="Arial" w:cs="Arial"/>
                <w:b/>
                <w:bCs/>
                <w:color w:val="FFFFFF"/>
                <w:sz w:val="16"/>
                <w:szCs w:val="16"/>
              </w:rPr>
              <w:t>%</w:t>
            </w:r>
          </w:p>
        </w:tc>
        <w:tc>
          <w:tcPr>
            <w:tcW w:w="705" w:type="dxa"/>
            <w:tcBorders>
              <w:top w:val="nil"/>
              <w:left w:val="nil"/>
              <w:bottom w:val="nil"/>
              <w:right w:val="nil"/>
            </w:tcBorders>
            <w:shd w:val="clear" w:color="000000" w:fill="03365F"/>
            <w:vAlign w:val="center"/>
            <w:hideMark/>
          </w:tcPr>
          <w:p w:rsidR="00E419AB" w:rsidRPr="003E130A" w:rsidRDefault="00E419AB" w:rsidP="00E419AB">
            <w:pPr>
              <w:widowControl/>
              <w:jc w:val="center"/>
              <w:rPr>
                <w:rFonts w:ascii="Arial" w:eastAsia="Times New Roman" w:hAnsi="Arial" w:cs="Arial"/>
                <w:b/>
                <w:bCs/>
                <w:color w:val="FFFFFF"/>
                <w:sz w:val="16"/>
                <w:szCs w:val="16"/>
              </w:rPr>
            </w:pPr>
            <w:r w:rsidRPr="003E130A">
              <w:rPr>
                <w:rFonts w:ascii="Arial" w:eastAsia="Times New Roman" w:hAnsi="Arial" w:cs="Arial"/>
                <w:b/>
                <w:bCs/>
                <w:color w:val="FFFFFF"/>
                <w:sz w:val="16"/>
                <w:szCs w:val="16"/>
              </w:rPr>
              <w:t>% ex. FX*</w:t>
            </w:r>
          </w:p>
        </w:tc>
      </w:tr>
      <w:tr w:rsidR="00E419AB" w:rsidRPr="003E130A" w:rsidTr="00E419AB">
        <w:trPr>
          <w:trHeight w:val="300"/>
        </w:trPr>
        <w:tc>
          <w:tcPr>
            <w:tcW w:w="2366" w:type="dxa"/>
            <w:tcBorders>
              <w:top w:val="single" w:sz="4" w:space="0" w:color="BFBFBF"/>
              <w:left w:val="nil"/>
              <w:bottom w:val="single" w:sz="4" w:space="0" w:color="BFBFBF"/>
              <w:right w:val="nil"/>
            </w:tcBorders>
            <w:shd w:val="clear" w:color="auto" w:fill="auto"/>
            <w:vAlign w:val="center"/>
            <w:hideMark/>
          </w:tcPr>
          <w:p w:rsidR="00E419AB" w:rsidRPr="003E130A" w:rsidRDefault="00E057F0" w:rsidP="00E419AB">
            <w:pPr>
              <w:widowControl/>
              <w:rPr>
                <w:rFonts w:ascii="Arial" w:eastAsia="Times New Roman" w:hAnsi="Arial" w:cs="Arial"/>
                <w:sz w:val="16"/>
                <w:szCs w:val="16"/>
              </w:rPr>
            </w:pPr>
            <w:proofErr w:type="spellStart"/>
            <w:r w:rsidRPr="003E130A">
              <w:rPr>
                <w:rFonts w:ascii="Arial" w:eastAsia="Times New Roman" w:hAnsi="Arial" w:cs="Arial"/>
                <w:sz w:val="16"/>
                <w:szCs w:val="16"/>
              </w:rPr>
              <w:t>Primas</w:t>
            </w:r>
            <w:proofErr w:type="spellEnd"/>
            <w:r w:rsidRPr="003E130A">
              <w:rPr>
                <w:rFonts w:ascii="Arial" w:eastAsia="Times New Roman" w:hAnsi="Arial" w:cs="Arial"/>
                <w:sz w:val="16"/>
                <w:szCs w:val="16"/>
              </w:rPr>
              <w:t xml:space="preserve"> </w:t>
            </w:r>
            <w:proofErr w:type="spellStart"/>
            <w:r w:rsidRPr="003E130A">
              <w:rPr>
                <w:rFonts w:ascii="Arial" w:eastAsia="Times New Roman" w:hAnsi="Arial" w:cs="Arial"/>
                <w:sz w:val="16"/>
                <w:szCs w:val="16"/>
              </w:rPr>
              <w:t>brutas</w:t>
            </w:r>
            <w:proofErr w:type="spellEnd"/>
            <w:r w:rsidRPr="003E130A">
              <w:rPr>
                <w:rFonts w:ascii="Arial" w:eastAsia="Times New Roman" w:hAnsi="Arial" w:cs="Arial"/>
                <w:sz w:val="16"/>
                <w:szCs w:val="16"/>
              </w:rPr>
              <w:t xml:space="preserve"> </w:t>
            </w:r>
            <w:proofErr w:type="spellStart"/>
            <w:r w:rsidRPr="003E130A">
              <w:rPr>
                <w:rFonts w:ascii="Arial" w:eastAsia="Times New Roman" w:hAnsi="Arial" w:cs="Arial"/>
                <w:sz w:val="16"/>
                <w:szCs w:val="16"/>
              </w:rPr>
              <w:t>devengadas</w:t>
            </w:r>
            <w:proofErr w:type="spellEnd"/>
          </w:p>
        </w:tc>
        <w:tc>
          <w:tcPr>
            <w:tcW w:w="654" w:type="dxa"/>
            <w:tcBorders>
              <w:top w:val="single" w:sz="4" w:space="0" w:color="BFBFBF"/>
              <w:left w:val="nil"/>
              <w:bottom w:val="single" w:sz="4" w:space="0" w:color="BFBFB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299.0</w:t>
            </w:r>
          </w:p>
        </w:tc>
        <w:tc>
          <w:tcPr>
            <w:tcW w:w="647" w:type="dxa"/>
            <w:tcBorders>
              <w:top w:val="single" w:sz="4" w:space="0" w:color="BFBFBF"/>
              <w:left w:val="nil"/>
              <w:bottom w:val="single" w:sz="4" w:space="0" w:color="BFBFB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605.3</w:t>
            </w:r>
          </w:p>
        </w:tc>
        <w:tc>
          <w:tcPr>
            <w:tcW w:w="727" w:type="dxa"/>
            <w:tcBorders>
              <w:top w:val="single" w:sz="4" w:space="0" w:color="BFBFBF"/>
              <w:left w:val="nil"/>
              <w:bottom w:val="single" w:sz="4" w:space="0" w:color="BFBFBF"/>
              <w:right w:val="nil"/>
            </w:tcBorders>
            <w:shd w:val="clear" w:color="000000" w:fill="F2F2F2"/>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917.9</w:t>
            </w:r>
          </w:p>
        </w:tc>
        <w:tc>
          <w:tcPr>
            <w:tcW w:w="776" w:type="dxa"/>
            <w:tcBorders>
              <w:top w:val="single" w:sz="4" w:space="0" w:color="BFBFBF"/>
              <w:left w:val="nil"/>
              <w:bottom w:val="single" w:sz="4" w:space="0" w:color="BFBFB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1,235.6</w:t>
            </w:r>
          </w:p>
        </w:tc>
        <w:tc>
          <w:tcPr>
            <w:tcW w:w="654" w:type="dxa"/>
            <w:tcBorders>
              <w:top w:val="single" w:sz="4" w:space="0" w:color="BFBFBF"/>
              <w:left w:val="nil"/>
              <w:bottom w:val="single" w:sz="4" w:space="0" w:color="BFBFBF"/>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301.2</w:t>
            </w:r>
          </w:p>
        </w:tc>
        <w:tc>
          <w:tcPr>
            <w:tcW w:w="647" w:type="dxa"/>
            <w:tcBorders>
              <w:top w:val="single" w:sz="4" w:space="0" w:color="BFBFBF"/>
              <w:left w:val="nil"/>
              <w:bottom w:val="single" w:sz="4" w:space="0" w:color="BFBFBF"/>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599.1</w:t>
            </w:r>
          </w:p>
        </w:tc>
        <w:tc>
          <w:tcPr>
            <w:tcW w:w="776" w:type="dxa"/>
            <w:tcBorders>
              <w:top w:val="single" w:sz="4" w:space="0" w:color="BFBFBF"/>
              <w:left w:val="nil"/>
              <w:bottom w:val="single" w:sz="4" w:space="0" w:color="BFBFBF"/>
              <w:right w:val="nil"/>
            </w:tcBorders>
            <w:shd w:val="clear" w:color="000000" w:fill="D1F0F1"/>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897.2</w:t>
            </w:r>
          </w:p>
        </w:tc>
        <w:tc>
          <w:tcPr>
            <w:tcW w:w="236"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sz w:val="16"/>
                <w:szCs w:val="16"/>
              </w:rPr>
            </w:pPr>
          </w:p>
        </w:tc>
        <w:tc>
          <w:tcPr>
            <w:tcW w:w="884" w:type="dxa"/>
            <w:tcBorders>
              <w:top w:val="single" w:sz="4" w:space="0" w:color="BFBFBF"/>
              <w:left w:val="nil"/>
              <w:bottom w:val="single" w:sz="4" w:space="0" w:color="BFBFB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(2.3)%</w:t>
            </w:r>
          </w:p>
        </w:tc>
        <w:tc>
          <w:tcPr>
            <w:tcW w:w="705" w:type="dxa"/>
            <w:tcBorders>
              <w:top w:val="single" w:sz="4" w:space="0" w:color="BFBFBF"/>
              <w:left w:val="nil"/>
              <w:bottom w:val="single" w:sz="4" w:space="0" w:color="BFBFBF"/>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(1.1)%</w:t>
            </w:r>
          </w:p>
        </w:tc>
      </w:tr>
      <w:tr w:rsidR="00E419AB" w:rsidRPr="003E130A" w:rsidTr="00E419AB">
        <w:trPr>
          <w:trHeight w:val="300"/>
        </w:trPr>
        <w:tc>
          <w:tcPr>
            <w:tcW w:w="2366" w:type="dxa"/>
            <w:tcBorders>
              <w:top w:val="nil"/>
              <w:left w:val="nil"/>
              <w:bottom w:val="nil"/>
              <w:right w:val="nil"/>
            </w:tcBorders>
            <w:shd w:val="clear" w:color="auto" w:fill="auto"/>
            <w:vAlign w:val="center"/>
            <w:hideMark/>
          </w:tcPr>
          <w:p w:rsidR="00E419AB" w:rsidRPr="003E130A" w:rsidRDefault="00E057F0" w:rsidP="00E419AB">
            <w:pPr>
              <w:widowControl/>
              <w:rPr>
                <w:rFonts w:ascii="Arial" w:eastAsia="Times New Roman" w:hAnsi="Arial" w:cs="Arial"/>
                <w:sz w:val="16"/>
                <w:szCs w:val="16"/>
              </w:rPr>
            </w:pPr>
            <w:proofErr w:type="spellStart"/>
            <w:r w:rsidRPr="003E130A">
              <w:rPr>
                <w:rFonts w:ascii="Arial" w:eastAsia="Times New Roman" w:hAnsi="Arial" w:cs="Arial"/>
                <w:sz w:val="16"/>
                <w:szCs w:val="16"/>
              </w:rPr>
              <w:t>Ingresos</w:t>
            </w:r>
            <w:proofErr w:type="spellEnd"/>
            <w:r w:rsidRPr="003E130A">
              <w:rPr>
                <w:rFonts w:ascii="Arial" w:eastAsia="Times New Roman" w:hAnsi="Arial" w:cs="Arial"/>
                <w:sz w:val="16"/>
                <w:szCs w:val="16"/>
              </w:rPr>
              <w:t xml:space="preserve"> </w:t>
            </w:r>
            <w:proofErr w:type="spellStart"/>
            <w:r w:rsidRPr="003E130A">
              <w:rPr>
                <w:rFonts w:ascii="Arial" w:eastAsia="Times New Roman" w:hAnsi="Arial" w:cs="Arial"/>
                <w:sz w:val="16"/>
                <w:szCs w:val="16"/>
              </w:rPr>
              <w:t>por</w:t>
            </w:r>
            <w:proofErr w:type="spellEnd"/>
            <w:r w:rsidRPr="003E130A">
              <w:rPr>
                <w:rFonts w:ascii="Arial" w:eastAsia="Times New Roman" w:hAnsi="Arial" w:cs="Arial"/>
                <w:sz w:val="16"/>
                <w:szCs w:val="16"/>
              </w:rPr>
              <w:t xml:space="preserve"> </w:t>
            </w:r>
            <w:proofErr w:type="spellStart"/>
            <w:r w:rsidRPr="003E130A">
              <w:rPr>
                <w:rFonts w:ascii="Arial" w:eastAsia="Times New Roman" w:hAnsi="Arial" w:cs="Arial"/>
                <w:sz w:val="16"/>
                <w:szCs w:val="16"/>
              </w:rPr>
              <w:t>servicios</w:t>
            </w:r>
            <w:proofErr w:type="spellEnd"/>
          </w:p>
        </w:tc>
        <w:tc>
          <w:tcPr>
            <w:tcW w:w="654"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66.4</w:t>
            </w:r>
          </w:p>
        </w:tc>
        <w:tc>
          <w:tcPr>
            <w:tcW w:w="647"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127.3</w:t>
            </w:r>
          </w:p>
        </w:tc>
        <w:tc>
          <w:tcPr>
            <w:tcW w:w="727" w:type="dxa"/>
            <w:tcBorders>
              <w:top w:val="nil"/>
              <w:left w:val="nil"/>
              <w:bottom w:val="nil"/>
              <w:right w:val="nil"/>
            </w:tcBorders>
            <w:shd w:val="clear" w:color="000000" w:fill="F2F2F2"/>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185.6</w:t>
            </w:r>
          </w:p>
        </w:tc>
        <w:tc>
          <w:tcPr>
            <w:tcW w:w="776"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245.5</w:t>
            </w:r>
          </w:p>
        </w:tc>
        <w:tc>
          <w:tcPr>
            <w:tcW w:w="654" w:type="dxa"/>
            <w:tcBorders>
              <w:top w:val="nil"/>
              <w:left w:val="nil"/>
              <w:bottom w:val="nil"/>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69.3</w:t>
            </w:r>
          </w:p>
        </w:tc>
        <w:tc>
          <w:tcPr>
            <w:tcW w:w="647" w:type="dxa"/>
            <w:tcBorders>
              <w:top w:val="nil"/>
              <w:left w:val="nil"/>
              <w:bottom w:val="nil"/>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125.5</w:t>
            </w:r>
          </w:p>
        </w:tc>
        <w:tc>
          <w:tcPr>
            <w:tcW w:w="776" w:type="dxa"/>
            <w:tcBorders>
              <w:top w:val="nil"/>
              <w:left w:val="nil"/>
              <w:bottom w:val="nil"/>
              <w:right w:val="nil"/>
            </w:tcBorders>
            <w:shd w:val="clear" w:color="000000" w:fill="D1F0F1"/>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185.3</w:t>
            </w:r>
          </w:p>
        </w:tc>
        <w:tc>
          <w:tcPr>
            <w:tcW w:w="236"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sz w:val="16"/>
                <w:szCs w:val="16"/>
              </w:rPr>
            </w:pPr>
          </w:p>
        </w:tc>
        <w:tc>
          <w:tcPr>
            <w:tcW w:w="884"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(0.2)%</w:t>
            </w:r>
          </w:p>
        </w:tc>
        <w:tc>
          <w:tcPr>
            <w:tcW w:w="705" w:type="dxa"/>
            <w:tcBorders>
              <w:top w:val="nil"/>
              <w:left w:val="nil"/>
              <w:bottom w:val="nil"/>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sz w:val="16"/>
                <w:szCs w:val="16"/>
              </w:rPr>
            </w:pPr>
            <w:r w:rsidRPr="003E130A">
              <w:rPr>
                <w:rFonts w:ascii="Arial" w:eastAsia="Times New Roman" w:hAnsi="Arial" w:cs="Arial"/>
                <w:sz w:val="16"/>
                <w:szCs w:val="16"/>
              </w:rPr>
              <w:t>+0.0%</w:t>
            </w:r>
          </w:p>
        </w:tc>
      </w:tr>
      <w:tr w:rsidR="00E419AB" w:rsidRPr="003E130A" w:rsidTr="00E419AB">
        <w:trPr>
          <w:trHeight w:val="300"/>
        </w:trPr>
        <w:tc>
          <w:tcPr>
            <w:tcW w:w="2366" w:type="dxa"/>
            <w:tcBorders>
              <w:top w:val="single" w:sz="4" w:space="0" w:color="BFBFBF"/>
              <w:left w:val="nil"/>
              <w:bottom w:val="single" w:sz="8" w:space="0" w:color="BFBFBF"/>
              <w:right w:val="nil"/>
            </w:tcBorders>
            <w:shd w:val="clear" w:color="auto" w:fill="auto"/>
            <w:vAlign w:val="center"/>
            <w:hideMark/>
          </w:tcPr>
          <w:p w:rsidR="00E419AB" w:rsidRPr="003E130A" w:rsidRDefault="00E057F0" w:rsidP="00E419AB">
            <w:pPr>
              <w:widowControl/>
              <w:rPr>
                <w:rFonts w:ascii="Arial" w:eastAsia="Times New Roman" w:hAnsi="Arial" w:cs="Arial"/>
                <w:b/>
                <w:bCs/>
                <w:sz w:val="16"/>
                <w:szCs w:val="16"/>
              </w:rPr>
            </w:pPr>
            <w:r w:rsidRPr="003E130A">
              <w:rPr>
                <w:rFonts w:ascii="Arial" w:eastAsia="Times New Roman" w:hAnsi="Arial" w:cs="Arial"/>
                <w:b/>
                <w:bCs/>
                <w:sz w:val="16"/>
                <w:szCs w:val="16"/>
              </w:rPr>
              <w:t>INGRESOS</w:t>
            </w:r>
          </w:p>
        </w:tc>
        <w:tc>
          <w:tcPr>
            <w:tcW w:w="654" w:type="dxa"/>
            <w:tcBorders>
              <w:top w:val="single" w:sz="4" w:space="0" w:color="BFBFBF"/>
              <w:left w:val="nil"/>
              <w:bottom w:val="single" w:sz="8" w:space="0" w:color="BFBFB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b/>
                <w:bCs/>
                <w:sz w:val="16"/>
                <w:szCs w:val="16"/>
              </w:rPr>
            </w:pPr>
            <w:r w:rsidRPr="003E130A">
              <w:rPr>
                <w:rFonts w:ascii="Arial" w:eastAsia="Times New Roman" w:hAnsi="Arial" w:cs="Arial"/>
                <w:b/>
                <w:bCs/>
                <w:sz w:val="16"/>
                <w:szCs w:val="16"/>
              </w:rPr>
              <w:t>365.5</w:t>
            </w:r>
          </w:p>
        </w:tc>
        <w:tc>
          <w:tcPr>
            <w:tcW w:w="647" w:type="dxa"/>
            <w:tcBorders>
              <w:top w:val="single" w:sz="4" w:space="0" w:color="BFBFBF"/>
              <w:left w:val="nil"/>
              <w:bottom w:val="single" w:sz="8" w:space="0" w:color="BFBFB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b/>
                <w:bCs/>
                <w:sz w:val="16"/>
                <w:szCs w:val="16"/>
              </w:rPr>
            </w:pPr>
            <w:r w:rsidRPr="003E130A">
              <w:rPr>
                <w:rFonts w:ascii="Arial" w:eastAsia="Times New Roman" w:hAnsi="Arial" w:cs="Arial"/>
                <w:b/>
                <w:bCs/>
                <w:sz w:val="16"/>
                <w:szCs w:val="16"/>
              </w:rPr>
              <w:t>732.6</w:t>
            </w:r>
          </w:p>
        </w:tc>
        <w:tc>
          <w:tcPr>
            <w:tcW w:w="727" w:type="dxa"/>
            <w:tcBorders>
              <w:top w:val="single" w:sz="4" w:space="0" w:color="BFBFBF"/>
              <w:left w:val="nil"/>
              <w:bottom w:val="single" w:sz="8" w:space="0" w:color="BFBFBF"/>
              <w:right w:val="nil"/>
            </w:tcBorders>
            <w:shd w:val="clear" w:color="000000" w:fill="F2F2F2"/>
            <w:noWrap/>
            <w:vAlign w:val="center"/>
            <w:hideMark/>
          </w:tcPr>
          <w:p w:rsidR="00E419AB" w:rsidRPr="003E130A" w:rsidRDefault="00E419AB" w:rsidP="00E419AB">
            <w:pPr>
              <w:widowControl/>
              <w:jc w:val="right"/>
              <w:rPr>
                <w:rFonts w:ascii="Arial" w:eastAsia="Times New Roman" w:hAnsi="Arial" w:cs="Arial"/>
                <w:b/>
                <w:bCs/>
                <w:sz w:val="16"/>
                <w:szCs w:val="16"/>
              </w:rPr>
            </w:pPr>
            <w:r w:rsidRPr="003E130A">
              <w:rPr>
                <w:rFonts w:ascii="Arial" w:eastAsia="Times New Roman" w:hAnsi="Arial" w:cs="Arial"/>
                <w:b/>
                <w:bCs/>
                <w:sz w:val="16"/>
                <w:szCs w:val="16"/>
              </w:rPr>
              <w:t>1,103.4</w:t>
            </w:r>
          </w:p>
        </w:tc>
        <w:tc>
          <w:tcPr>
            <w:tcW w:w="776" w:type="dxa"/>
            <w:tcBorders>
              <w:top w:val="single" w:sz="4" w:space="0" w:color="BFBFBF"/>
              <w:left w:val="nil"/>
              <w:bottom w:val="single" w:sz="8" w:space="0" w:color="BFBFB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b/>
                <w:bCs/>
                <w:sz w:val="16"/>
                <w:szCs w:val="16"/>
              </w:rPr>
            </w:pPr>
            <w:r w:rsidRPr="003E130A">
              <w:rPr>
                <w:rFonts w:ascii="Arial" w:eastAsia="Times New Roman" w:hAnsi="Arial" w:cs="Arial"/>
                <w:b/>
                <w:bCs/>
                <w:sz w:val="16"/>
                <w:szCs w:val="16"/>
              </w:rPr>
              <w:t>1,481.1</w:t>
            </w:r>
          </w:p>
        </w:tc>
        <w:tc>
          <w:tcPr>
            <w:tcW w:w="654" w:type="dxa"/>
            <w:tcBorders>
              <w:top w:val="single" w:sz="4" w:space="0" w:color="BFBFBF"/>
              <w:left w:val="nil"/>
              <w:bottom w:val="single" w:sz="8" w:space="0" w:color="BFBFBF"/>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b/>
                <w:bCs/>
                <w:sz w:val="16"/>
                <w:szCs w:val="16"/>
              </w:rPr>
            </w:pPr>
            <w:r w:rsidRPr="003E130A">
              <w:rPr>
                <w:rFonts w:ascii="Arial" w:eastAsia="Times New Roman" w:hAnsi="Arial" w:cs="Arial"/>
                <w:b/>
                <w:bCs/>
                <w:sz w:val="16"/>
                <w:szCs w:val="16"/>
              </w:rPr>
              <w:t>370.5</w:t>
            </w:r>
          </w:p>
        </w:tc>
        <w:tc>
          <w:tcPr>
            <w:tcW w:w="647" w:type="dxa"/>
            <w:tcBorders>
              <w:top w:val="single" w:sz="4" w:space="0" w:color="BFBFBF"/>
              <w:left w:val="nil"/>
              <w:bottom w:val="single" w:sz="8" w:space="0" w:color="BFBFBF"/>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b/>
                <w:bCs/>
                <w:sz w:val="16"/>
                <w:szCs w:val="16"/>
              </w:rPr>
            </w:pPr>
            <w:r w:rsidRPr="003E130A">
              <w:rPr>
                <w:rFonts w:ascii="Arial" w:eastAsia="Times New Roman" w:hAnsi="Arial" w:cs="Arial"/>
                <w:b/>
                <w:bCs/>
                <w:sz w:val="16"/>
                <w:szCs w:val="16"/>
              </w:rPr>
              <w:t>724.6</w:t>
            </w:r>
          </w:p>
        </w:tc>
        <w:tc>
          <w:tcPr>
            <w:tcW w:w="776" w:type="dxa"/>
            <w:tcBorders>
              <w:top w:val="single" w:sz="4" w:space="0" w:color="BFBFBF"/>
              <w:left w:val="nil"/>
              <w:bottom w:val="single" w:sz="8" w:space="0" w:color="BFBFBF"/>
              <w:right w:val="nil"/>
            </w:tcBorders>
            <w:shd w:val="clear" w:color="000000" w:fill="D1F0F1"/>
            <w:noWrap/>
            <w:vAlign w:val="center"/>
            <w:hideMark/>
          </w:tcPr>
          <w:p w:rsidR="00E419AB" w:rsidRPr="003E130A" w:rsidRDefault="00E419AB" w:rsidP="00E419AB">
            <w:pPr>
              <w:widowControl/>
              <w:jc w:val="right"/>
              <w:rPr>
                <w:rFonts w:ascii="Arial" w:eastAsia="Times New Roman" w:hAnsi="Arial" w:cs="Arial"/>
                <w:b/>
                <w:bCs/>
                <w:sz w:val="16"/>
                <w:szCs w:val="16"/>
              </w:rPr>
            </w:pPr>
            <w:r w:rsidRPr="003E130A">
              <w:rPr>
                <w:rFonts w:ascii="Arial" w:eastAsia="Times New Roman" w:hAnsi="Arial" w:cs="Arial"/>
                <w:b/>
                <w:bCs/>
                <w:sz w:val="16"/>
                <w:szCs w:val="16"/>
              </w:rPr>
              <w:t>1,082.4</w:t>
            </w:r>
          </w:p>
        </w:tc>
        <w:tc>
          <w:tcPr>
            <w:tcW w:w="236"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b/>
                <w:bCs/>
                <w:sz w:val="16"/>
                <w:szCs w:val="16"/>
              </w:rPr>
            </w:pPr>
          </w:p>
        </w:tc>
        <w:tc>
          <w:tcPr>
            <w:tcW w:w="884" w:type="dxa"/>
            <w:tcBorders>
              <w:top w:val="single" w:sz="4" w:space="0" w:color="BFBFBF"/>
              <w:left w:val="nil"/>
              <w:bottom w:val="single" w:sz="8" w:space="0" w:color="BFBFB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b/>
                <w:bCs/>
                <w:sz w:val="16"/>
                <w:szCs w:val="16"/>
              </w:rPr>
            </w:pPr>
            <w:r w:rsidRPr="003E130A">
              <w:rPr>
                <w:rFonts w:ascii="Arial" w:eastAsia="Times New Roman" w:hAnsi="Arial" w:cs="Arial"/>
                <w:b/>
                <w:bCs/>
                <w:sz w:val="16"/>
                <w:szCs w:val="16"/>
              </w:rPr>
              <w:t>(1.9)%</w:t>
            </w:r>
          </w:p>
        </w:tc>
        <w:tc>
          <w:tcPr>
            <w:tcW w:w="705" w:type="dxa"/>
            <w:tcBorders>
              <w:top w:val="single" w:sz="4" w:space="0" w:color="BFBFBF"/>
              <w:left w:val="nil"/>
              <w:bottom w:val="single" w:sz="8" w:space="0" w:color="BFBFBF"/>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b/>
                <w:bCs/>
                <w:sz w:val="16"/>
                <w:szCs w:val="16"/>
              </w:rPr>
            </w:pPr>
            <w:r w:rsidRPr="003E130A">
              <w:rPr>
                <w:rFonts w:ascii="Arial" w:eastAsia="Times New Roman" w:hAnsi="Arial" w:cs="Arial"/>
                <w:b/>
                <w:bCs/>
                <w:sz w:val="16"/>
                <w:szCs w:val="16"/>
              </w:rPr>
              <w:t>(0.9)%</w:t>
            </w:r>
          </w:p>
        </w:tc>
      </w:tr>
      <w:tr w:rsidR="00E419AB" w:rsidRPr="003E130A" w:rsidTr="00E419AB">
        <w:trPr>
          <w:trHeight w:val="345"/>
        </w:trPr>
        <w:tc>
          <w:tcPr>
            <w:tcW w:w="2366" w:type="dxa"/>
            <w:tcBorders>
              <w:top w:val="single" w:sz="4" w:space="0" w:color="03365F"/>
              <w:left w:val="nil"/>
              <w:bottom w:val="single" w:sz="8" w:space="0" w:color="03365F"/>
              <w:right w:val="nil"/>
            </w:tcBorders>
            <w:shd w:val="clear" w:color="auto" w:fill="auto"/>
            <w:vAlign w:val="center"/>
            <w:hideMark/>
          </w:tcPr>
          <w:p w:rsidR="00E419AB" w:rsidRPr="003E130A" w:rsidRDefault="00E057F0" w:rsidP="00E419AB">
            <w:pPr>
              <w:widowControl/>
              <w:rPr>
                <w:rFonts w:ascii="Arial" w:eastAsia="Times New Roman" w:hAnsi="Arial" w:cs="Arial"/>
                <w:b/>
                <w:bCs/>
                <w:color w:val="03365F"/>
                <w:sz w:val="16"/>
                <w:szCs w:val="16"/>
                <w:lang w:val="es-ES"/>
              </w:rPr>
            </w:pPr>
            <w:r w:rsidRPr="003E130A">
              <w:rPr>
                <w:rFonts w:ascii="Arial" w:eastAsia="Times New Roman" w:hAnsi="Arial" w:cs="Arial"/>
                <w:b/>
                <w:bCs/>
                <w:color w:val="03365F"/>
                <w:sz w:val="16"/>
                <w:szCs w:val="16"/>
                <w:lang w:val="es-ES"/>
              </w:rPr>
              <w:t>INGRESOS (PÉRDIDAS) DE SUSCRIPCIÓN DESPUÉS DEL REASEGURO</w:t>
            </w:r>
          </w:p>
        </w:tc>
        <w:tc>
          <w:tcPr>
            <w:tcW w:w="654" w:type="dxa"/>
            <w:tcBorders>
              <w:top w:val="single" w:sz="4" w:space="0" w:color="03365F"/>
              <w:left w:val="nil"/>
              <w:bottom w:val="single" w:sz="8" w:space="0" w:color="03365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b/>
                <w:bCs/>
                <w:color w:val="03365F"/>
                <w:sz w:val="16"/>
                <w:szCs w:val="16"/>
              </w:rPr>
            </w:pPr>
            <w:r w:rsidRPr="003E130A">
              <w:rPr>
                <w:rFonts w:ascii="Arial" w:eastAsia="Times New Roman" w:hAnsi="Arial" w:cs="Arial"/>
                <w:b/>
                <w:bCs/>
                <w:color w:val="03365F"/>
                <w:sz w:val="16"/>
                <w:szCs w:val="16"/>
              </w:rPr>
              <w:t>52.0</w:t>
            </w:r>
          </w:p>
        </w:tc>
        <w:tc>
          <w:tcPr>
            <w:tcW w:w="647" w:type="dxa"/>
            <w:tcBorders>
              <w:top w:val="single" w:sz="4" w:space="0" w:color="03365F"/>
              <w:left w:val="nil"/>
              <w:bottom w:val="single" w:sz="8" w:space="0" w:color="03365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b/>
                <w:bCs/>
                <w:color w:val="03365F"/>
                <w:sz w:val="16"/>
                <w:szCs w:val="16"/>
              </w:rPr>
            </w:pPr>
            <w:r w:rsidRPr="003E130A">
              <w:rPr>
                <w:rFonts w:ascii="Arial" w:eastAsia="Times New Roman" w:hAnsi="Arial" w:cs="Arial"/>
                <w:b/>
                <w:bCs/>
                <w:color w:val="03365F"/>
                <w:sz w:val="16"/>
                <w:szCs w:val="16"/>
              </w:rPr>
              <w:t>99.5</w:t>
            </w:r>
          </w:p>
        </w:tc>
        <w:tc>
          <w:tcPr>
            <w:tcW w:w="727" w:type="dxa"/>
            <w:tcBorders>
              <w:top w:val="single" w:sz="4" w:space="0" w:color="03365F"/>
              <w:left w:val="nil"/>
              <w:bottom w:val="single" w:sz="8" w:space="0" w:color="03365F"/>
              <w:right w:val="nil"/>
            </w:tcBorders>
            <w:shd w:val="clear" w:color="000000" w:fill="F2F2F2"/>
            <w:noWrap/>
            <w:vAlign w:val="center"/>
            <w:hideMark/>
          </w:tcPr>
          <w:p w:rsidR="00E419AB" w:rsidRPr="003E130A" w:rsidRDefault="00E419AB" w:rsidP="00E419AB">
            <w:pPr>
              <w:widowControl/>
              <w:jc w:val="right"/>
              <w:rPr>
                <w:rFonts w:ascii="Arial" w:eastAsia="Times New Roman" w:hAnsi="Arial" w:cs="Arial"/>
                <w:b/>
                <w:bCs/>
                <w:color w:val="03365F"/>
                <w:sz w:val="16"/>
                <w:szCs w:val="16"/>
              </w:rPr>
            </w:pPr>
            <w:r w:rsidRPr="003E130A">
              <w:rPr>
                <w:rFonts w:ascii="Arial" w:eastAsia="Times New Roman" w:hAnsi="Arial" w:cs="Arial"/>
                <w:b/>
                <w:bCs/>
                <w:color w:val="03365F"/>
                <w:sz w:val="16"/>
                <w:szCs w:val="16"/>
              </w:rPr>
              <w:t>145.7</w:t>
            </w:r>
          </w:p>
        </w:tc>
        <w:tc>
          <w:tcPr>
            <w:tcW w:w="776" w:type="dxa"/>
            <w:tcBorders>
              <w:top w:val="single" w:sz="4" w:space="0" w:color="03365F"/>
              <w:left w:val="nil"/>
              <w:bottom w:val="single" w:sz="8" w:space="0" w:color="03365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b/>
                <w:bCs/>
                <w:color w:val="03365F"/>
                <w:sz w:val="16"/>
                <w:szCs w:val="16"/>
              </w:rPr>
            </w:pPr>
            <w:r w:rsidRPr="003E130A">
              <w:rPr>
                <w:rFonts w:ascii="Arial" w:eastAsia="Times New Roman" w:hAnsi="Arial" w:cs="Arial"/>
                <w:b/>
                <w:bCs/>
                <w:color w:val="03365F"/>
                <w:sz w:val="16"/>
                <w:szCs w:val="16"/>
              </w:rPr>
              <w:t>187.9</w:t>
            </w:r>
          </w:p>
        </w:tc>
        <w:tc>
          <w:tcPr>
            <w:tcW w:w="654" w:type="dxa"/>
            <w:tcBorders>
              <w:top w:val="single" w:sz="4" w:space="0" w:color="03365F"/>
              <w:left w:val="nil"/>
              <w:bottom w:val="single" w:sz="8" w:space="0" w:color="03365F"/>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b/>
                <w:bCs/>
                <w:color w:val="03365F"/>
                <w:sz w:val="16"/>
                <w:szCs w:val="16"/>
              </w:rPr>
            </w:pPr>
            <w:r w:rsidRPr="003E130A">
              <w:rPr>
                <w:rFonts w:ascii="Arial" w:eastAsia="Times New Roman" w:hAnsi="Arial" w:cs="Arial"/>
                <w:b/>
                <w:bCs/>
                <w:color w:val="03365F"/>
                <w:sz w:val="16"/>
                <w:szCs w:val="16"/>
              </w:rPr>
              <w:t>28.2</w:t>
            </w:r>
          </w:p>
        </w:tc>
        <w:tc>
          <w:tcPr>
            <w:tcW w:w="647" w:type="dxa"/>
            <w:tcBorders>
              <w:top w:val="single" w:sz="4" w:space="0" w:color="03365F"/>
              <w:left w:val="nil"/>
              <w:bottom w:val="single" w:sz="8" w:space="0" w:color="03365F"/>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b/>
                <w:bCs/>
                <w:color w:val="03365F"/>
                <w:sz w:val="16"/>
                <w:szCs w:val="16"/>
              </w:rPr>
            </w:pPr>
            <w:r w:rsidRPr="003E130A">
              <w:rPr>
                <w:rFonts w:ascii="Arial" w:eastAsia="Times New Roman" w:hAnsi="Arial" w:cs="Arial"/>
                <w:b/>
                <w:bCs/>
                <w:color w:val="03365F"/>
                <w:sz w:val="16"/>
                <w:szCs w:val="16"/>
              </w:rPr>
              <w:t>40.4</w:t>
            </w:r>
          </w:p>
        </w:tc>
        <w:tc>
          <w:tcPr>
            <w:tcW w:w="776" w:type="dxa"/>
            <w:tcBorders>
              <w:top w:val="single" w:sz="4" w:space="0" w:color="03365F"/>
              <w:left w:val="nil"/>
              <w:bottom w:val="single" w:sz="8" w:space="0" w:color="03365F"/>
              <w:right w:val="nil"/>
            </w:tcBorders>
            <w:shd w:val="clear" w:color="000000" w:fill="D1F0F1"/>
            <w:noWrap/>
            <w:vAlign w:val="center"/>
            <w:hideMark/>
          </w:tcPr>
          <w:p w:rsidR="00E419AB" w:rsidRPr="003E130A" w:rsidRDefault="00E419AB" w:rsidP="00E419AB">
            <w:pPr>
              <w:widowControl/>
              <w:jc w:val="right"/>
              <w:rPr>
                <w:rFonts w:ascii="Arial" w:eastAsia="Times New Roman" w:hAnsi="Arial" w:cs="Arial"/>
                <w:b/>
                <w:bCs/>
                <w:color w:val="03365F"/>
                <w:sz w:val="16"/>
                <w:szCs w:val="16"/>
              </w:rPr>
            </w:pPr>
            <w:r w:rsidRPr="003E130A">
              <w:rPr>
                <w:rFonts w:ascii="Arial" w:eastAsia="Times New Roman" w:hAnsi="Arial" w:cs="Arial"/>
                <w:b/>
                <w:bCs/>
                <w:color w:val="03365F"/>
                <w:sz w:val="16"/>
                <w:szCs w:val="16"/>
              </w:rPr>
              <w:t>74.6</w:t>
            </w:r>
          </w:p>
        </w:tc>
        <w:tc>
          <w:tcPr>
            <w:tcW w:w="236"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b/>
                <w:bCs/>
                <w:color w:val="03365F"/>
                <w:sz w:val="16"/>
                <w:szCs w:val="16"/>
              </w:rPr>
            </w:pPr>
          </w:p>
        </w:tc>
        <w:tc>
          <w:tcPr>
            <w:tcW w:w="884" w:type="dxa"/>
            <w:tcBorders>
              <w:top w:val="single" w:sz="4" w:space="0" w:color="03365F"/>
              <w:left w:val="nil"/>
              <w:bottom w:val="single" w:sz="8" w:space="0" w:color="03365F"/>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b/>
                <w:bCs/>
                <w:color w:val="03365F"/>
                <w:sz w:val="16"/>
                <w:szCs w:val="16"/>
              </w:rPr>
            </w:pPr>
            <w:r w:rsidRPr="003E130A">
              <w:rPr>
                <w:rFonts w:ascii="Arial" w:eastAsia="Times New Roman" w:hAnsi="Arial" w:cs="Arial"/>
                <w:b/>
                <w:bCs/>
                <w:color w:val="03365F"/>
                <w:sz w:val="16"/>
                <w:szCs w:val="16"/>
              </w:rPr>
              <w:t>(48.8)%</w:t>
            </w:r>
          </w:p>
        </w:tc>
        <w:tc>
          <w:tcPr>
            <w:tcW w:w="705" w:type="dxa"/>
            <w:tcBorders>
              <w:top w:val="single" w:sz="4" w:space="0" w:color="03365F"/>
              <w:left w:val="nil"/>
              <w:bottom w:val="single" w:sz="8" w:space="0" w:color="03365F"/>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b/>
                <w:bCs/>
                <w:color w:val="03365F"/>
                <w:sz w:val="16"/>
                <w:szCs w:val="16"/>
              </w:rPr>
            </w:pPr>
            <w:r w:rsidRPr="003E130A">
              <w:rPr>
                <w:rFonts w:ascii="Arial" w:eastAsia="Times New Roman" w:hAnsi="Arial" w:cs="Arial"/>
                <w:b/>
                <w:bCs/>
                <w:color w:val="03365F"/>
                <w:sz w:val="16"/>
                <w:szCs w:val="16"/>
              </w:rPr>
              <w:t>(49.8)%</w:t>
            </w:r>
          </w:p>
        </w:tc>
      </w:tr>
      <w:tr w:rsidR="00EF55E4" w:rsidRPr="003E130A" w:rsidTr="00E419AB">
        <w:trPr>
          <w:trHeight w:val="330"/>
        </w:trPr>
        <w:tc>
          <w:tcPr>
            <w:tcW w:w="2366" w:type="dxa"/>
            <w:tcBorders>
              <w:top w:val="single" w:sz="4" w:space="0" w:color="BFBFBF"/>
              <w:left w:val="nil"/>
              <w:bottom w:val="nil"/>
              <w:right w:val="nil"/>
            </w:tcBorders>
            <w:shd w:val="clear" w:color="auto" w:fill="auto"/>
            <w:vAlign w:val="center"/>
            <w:hideMark/>
          </w:tcPr>
          <w:p w:rsidR="00EF55E4" w:rsidRPr="003E130A" w:rsidRDefault="00E057F0" w:rsidP="00EF55E4">
            <w:pPr>
              <w:widowControl/>
              <w:rPr>
                <w:rFonts w:ascii="Arial" w:eastAsia="Times New Roman" w:hAnsi="Arial" w:cs="Arial"/>
                <w:sz w:val="16"/>
                <w:szCs w:val="16"/>
                <w:lang w:val="es-ES"/>
              </w:rPr>
            </w:pPr>
            <w:r w:rsidRPr="003E130A">
              <w:rPr>
                <w:rFonts w:ascii="Arial" w:eastAsia="Times New Roman" w:hAnsi="Arial" w:cs="Arial"/>
                <w:sz w:val="16"/>
                <w:szCs w:val="16"/>
                <w:lang w:val="es-ES"/>
              </w:rPr>
              <w:t>Ingresos por inversiones, netos de los gastos de gestión</w:t>
            </w:r>
          </w:p>
        </w:tc>
        <w:tc>
          <w:tcPr>
            <w:tcW w:w="654" w:type="dxa"/>
            <w:tcBorders>
              <w:top w:val="single" w:sz="4" w:space="0" w:color="BFBFBF"/>
              <w:left w:val="nil"/>
              <w:bottom w:val="single" w:sz="4" w:space="0" w:color="BFBFBF"/>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5.1</w:t>
            </w:r>
          </w:p>
        </w:tc>
        <w:tc>
          <w:tcPr>
            <w:tcW w:w="647" w:type="dxa"/>
            <w:tcBorders>
              <w:top w:val="single" w:sz="4" w:space="0" w:color="BFBFBF"/>
              <w:left w:val="nil"/>
              <w:bottom w:val="single" w:sz="4" w:space="0" w:color="BFBFBF"/>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16.6</w:t>
            </w:r>
          </w:p>
        </w:tc>
        <w:tc>
          <w:tcPr>
            <w:tcW w:w="727" w:type="dxa"/>
            <w:tcBorders>
              <w:top w:val="single" w:sz="4" w:space="0" w:color="BFBFBF"/>
              <w:left w:val="nil"/>
              <w:bottom w:val="single" w:sz="4" w:space="0" w:color="BFBFBF"/>
              <w:right w:val="nil"/>
            </w:tcBorders>
            <w:shd w:val="clear" w:color="000000" w:fill="F2F2F2"/>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28.4</w:t>
            </w:r>
          </w:p>
        </w:tc>
        <w:tc>
          <w:tcPr>
            <w:tcW w:w="776" w:type="dxa"/>
            <w:tcBorders>
              <w:top w:val="single" w:sz="4" w:space="0" w:color="BFBFBF"/>
              <w:left w:val="nil"/>
              <w:bottom w:val="single" w:sz="4" w:space="0" w:color="BFBFBF"/>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36.9</w:t>
            </w:r>
          </w:p>
        </w:tc>
        <w:tc>
          <w:tcPr>
            <w:tcW w:w="654" w:type="dxa"/>
            <w:tcBorders>
              <w:top w:val="single" w:sz="4" w:space="0" w:color="BFBFBF"/>
              <w:left w:val="nil"/>
              <w:bottom w:val="single" w:sz="4" w:space="0" w:color="BFBFBF"/>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2.7</w:t>
            </w:r>
          </w:p>
        </w:tc>
        <w:tc>
          <w:tcPr>
            <w:tcW w:w="647" w:type="dxa"/>
            <w:tcBorders>
              <w:top w:val="single" w:sz="4" w:space="0" w:color="BFBFBF"/>
              <w:left w:val="nil"/>
              <w:bottom w:val="single" w:sz="4" w:space="0" w:color="BFBFBF"/>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16.7</w:t>
            </w:r>
          </w:p>
        </w:tc>
        <w:tc>
          <w:tcPr>
            <w:tcW w:w="776" w:type="dxa"/>
            <w:tcBorders>
              <w:top w:val="single" w:sz="4" w:space="0" w:color="BFBFBF"/>
              <w:left w:val="nil"/>
              <w:bottom w:val="single" w:sz="4" w:space="0" w:color="BFBFBF"/>
              <w:right w:val="nil"/>
            </w:tcBorders>
            <w:shd w:val="clear" w:color="000000" w:fill="D1F0F1"/>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23.5</w:t>
            </w:r>
          </w:p>
        </w:tc>
        <w:tc>
          <w:tcPr>
            <w:tcW w:w="236" w:type="dxa"/>
            <w:tcBorders>
              <w:top w:val="nil"/>
              <w:left w:val="nil"/>
              <w:bottom w:val="nil"/>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sz w:val="16"/>
                <w:szCs w:val="16"/>
              </w:rPr>
            </w:pPr>
          </w:p>
        </w:tc>
        <w:tc>
          <w:tcPr>
            <w:tcW w:w="884" w:type="dxa"/>
            <w:tcBorders>
              <w:top w:val="single" w:sz="4" w:space="0" w:color="BFBFBF"/>
              <w:left w:val="nil"/>
              <w:bottom w:val="single" w:sz="4" w:space="0" w:color="BFBFBF"/>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sz w:val="16"/>
                <w:szCs w:val="20"/>
              </w:rPr>
            </w:pPr>
            <w:r w:rsidRPr="003E130A">
              <w:rPr>
                <w:rFonts w:ascii="Arial" w:hAnsi="Arial" w:cs="Arial"/>
                <w:sz w:val="16"/>
                <w:szCs w:val="20"/>
              </w:rPr>
              <w:t>(17.4)%</w:t>
            </w:r>
          </w:p>
        </w:tc>
        <w:tc>
          <w:tcPr>
            <w:tcW w:w="705" w:type="dxa"/>
            <w:tcBorders>
              <w:top w:val="single" w:sz="4" w:space="0" w:color="BFBFBF"/>
              <w:left w:val="nil"/>
              <w:bottom w:val="single" w:sz="4" w:space="0" w:color="BFBFBF"/>
              <w:right w:val="nil"/>
            </w:tcBorders>
            <w:shd w:val="clear" w:color="auto" w:fill="auto"/>
            <w:noWrap/>
            <w:vAlign w:val="center"/>
            <w:hideMark/>
          </w:tcPr>
          <w:p w:rsidR="00EF55E4" w:rsidRPr="003E130A" w:rsidRDefault="00EF55E4" w:rsidP="00EF55E4">
            <w:pPr>
              <w:jc w:val="right"/>
              <w:rPr>
                <w:rFonts w:ascii="Arial" w:hAnsi="Arial" w:cs="Arial"/>
                <w:sz w:val="16"/>
                <w:szCs w:val="20"/>
              </w:rPr>
            </w:pPr>
            <w:r w:rsidRPr="003E130A">
              <w:rPr>
                <w:rFonts w:ascii="Arial" w:hAnsi="Arial" w:cs="Arial"/>
                <w:sz w:val="16"/>
                <w:szCs w:val="20"/>
              </w:rPr>
              <w:t>(10.3)%</w:t>
            </w:r>
          </w:p>
        </w:tc>
      </w:tr>
      <w:tr w:rsidR="00EF55E4" w:rsidRPr="003E130A" w:rsidTr="00E419AB">
        <w:trPr>
          <w:trHeight w:val="300"/>
        </w:trPr>
        <w:tc>
          <w:tcPr>
            <w:tcW w:w="2366" w:type="dxa"/>
            <w:tcBorders>
              <w:top w:val="single" w:sz="4" w:space="0" w:color="18B3B9"/>
              <w:left w:val="nil"/>
              <w:bottom w:val="single" w:sz="8" w:space="0" w:color="18B3B9"/>
              <w:right w:val="nil"/>
            </w:tcBorders>
            <w:shd w:val="clear" w:color="auto" w:fill="auto"/>
            <w:vAlign w:val="center"/>
            <w:hideMark/>
          </w:tcPr>
          <w:p w:rsidR="00EF55E4" w:rsidRPr="003E130A" w:rsidRDefault="00E057F0" w:rsidP="00EF55E4">
            <w:pPr>
              <w:widowControl/>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INGRESOS OPERATIVOS ACTUALES</w:t>
            </w:r>
          </w:p>
        </w:tc>
        <w:tc>
          <w:tcPr>
            <w:tcW w:w="654"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57.2</w:t>
            </w:r>
          </w:p>
        </w:tc>
        <w:tc>
          <w:tcPr>
            <w:tcW w:w="647"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116.1</w:t>
            </w:r>
          </w:p>
        </w:tc>
        <w:tc>
          <w:tcPr>
            <w:tcW w:w="727" w:type="dxa"/>
            <w:tcBorders>
              <w:top w:val="single" w:sz="4" w:space="0" w:color="18B3B9"/>
              <w:left w:val="nil"/>
              <w:bottom w:val="single" w:sz="8" w:space="0" w:color="18B3B9"/>
              <w:right w:val="nil"/>
            </w:tcBorders>
            <w:shd w:val="clear" w:color="000000" w:fill="F2F2F2"/>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174.1</w:t>
            </w:r>
          </w:p>
        </w:tc>
        <w:tc>
          <w:tcPr>
            <w:tcW w:w="776"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224.9</w:t>
            </w:r>
          </w:p>
        </w:tc>
        <w:tc>
          <w:tcPr>
            <w:tcW w:w="654" w:type="dxa"/>
            <w:tcBorders>
              <w:top w:val="single" w:sz="4" w:space="0" w:color="18B3B9"/>
              <w:left w:val="nil"/>
              <w:bottom w:val="single" w:sz="8" w:space="0" w:color="18B3B9"/>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30.9</w:t>
            </w:r>
          </w:p>
        </w:tc>
        <w:tc>
          <w:tcPr>
            <w:tcW w:w="647" w:type="dxa"/>
            <w:tcBorders>
              <w:top w:val="single" w:sz="4" w:space="0" w:color="18B3B9"/>
              <w:left w:val="nil"/>
              <w:bottom w:val="single" w:sz="8" w:space="0" w:color="18B3B9"/>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57.1</w:t>
            </w:r>
          </w:p>
        </w:tc>
        <w:tc>
          <w:tcPr>
            <w:tcW w:w="776" w:type="dxa"/>
            <w:tcBorders>
              <w:top w:val="single" w:sz="4" w:space="0" w:color="18B3B9"/>
              <w:left w:val="nil"/>
              <w:bottom w:val="single" w:sz="8" w:space="0" w:color="18B3B9"/>
              <w:right w:val="nil"/>
            </w:tcBorders>
            <w:shd w:val="clear" w:color="000000" w:fill="D1F0F1"/>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98.1</w:t>
            </w:r>
          </w:p>
        </w:tc>
        <w:tc>
          <w:tcPr>
            <w:tcW w:w="236" w:type="dxa"/>
            <w:tcBorders>
              <w:top w:val="nil"/>
              <w:left w:val="nil"/>
              <w:bottom w:val="nil"/>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p>
        </w:tc>
        <w:tc>
          <w:tcPr>
            <w:tcW w:w="884"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jc w:val="right"/>
              <w:rPr>
                <w:rFonts w:ascii="Arial" w:hAnsi="Arial" w:cs="Arial"/>
                <w:b/>
                <w:bCs/>
                <w:color w:val="18B3B9"/>
                <w:sz w:val="16"/>
                <w:szCs w:val="20"/>
              </w:rPr>
            </w:pPr>
            <w:r w:rsidRPr="003E130A">
              <w:rPr>
                <w:rFonts w:ascii="Arial" w:hAnsi="Arial" w:cs="Arial"/>
                <w:b/>
                <w:bCs/>
                <w:color w:val="18B3B9"/>
                <w:sz w:val="16"/>
                <w:szCs w:val="20"/>
              </w:rPr>
              <w:t>(43.7)%</w:t>
            </w:r>
          </w:p>
        </w:tc>
        <w:tc>
          <w:tcPr>
            <w:tcW w:w="705" w:type="dxa"/>
            <w:tcBorders>
              <w:top w:val="single" w:sz="4" w:space="0" w:color="18B3B9"/>
              <w:left w:val="nil"/>
              <w:bottom w:val="single" w:sz="8" w:space="0" w:color="18B3B9"/>
              <w:right w:val="nil"/>
            </w:tcBorders>
            <w:shd w:val="clear" w:color="000000" w:fill="FFFFFF"/>
            <w:noWrap/>
            <w:vAlign w:val="center"/>
            <w:hideMark/>
          </w:tcPr>
          <w:p w:rsidR="00EF55E4" w:rsidRPr="003E130A" w:rsidRDefault="00EF55E4" w:rsidP="00EF55E4">
            <w:pPr>
              <w:jc w:val="right"/>
              <w:rPr>
                <w:rFonts w:ascii="Arial" w:hAnsi="Arial" w:cs="Arial"/>
                <w:b/>
                <w:bCs/>
                <w:color w:val="18B3B9"/>
                <w:sz w:val="16"/>
                <w:szCs w:val="20"/>
              </w:rPr>
            </w:pPr>
            <w:r w:rsidRPr="003E130A">
              <w:rPr>
                <w:rFonts w:ascii="Arial" w:hAnsi="Arial" w:cs="Arial"/>
                <w:b/>
                <w:bCs/>
                <w:color w:val="18B3B9"/>
                <w:sz w:val="16"/>
                <w:szCs w:val="20"/>
              </w:rPr>
              <w:t>(43.2)%</w:t>
            </w:r>
          </w:p>
        </w:tc>
      </w:tr>
      <w:tr w:rsidR="00EF55E4" w:rsidRPr="003E130A" w:rsidTr="00E419AB">
        <w:trPr>
          <w:trHeight w:val="300"/>
        </w:trPr>
        <w:tc>
          <w:tcPr>
            <w:tcW w:w="2366" w:type="dxa"/>
            <w:tcBorders>
              <w:top w:val="nil"/>
              <w:left w:val="nil"/>
              <w:bottom w:val="nil"/>
              <w:right w:val="nil"/>
            </w:tcBorders>
            <w:shd w:val="clear" w:color="auto" w:fill="auto"/>
            <w:vAlign w:val="center"/>
            <w:hideMark/>
          </w:tcPr>
          <w:p w:rsidR="00EF55E4" w:rsidRPr="003E130A" w:rsidRDefault="00E057F0" w:rsidP="00EF55E4">
            <w:pPr>
              <w:widowControl/>
              <w:rPr>
                <w:rFonts w:ascii="Arial" w:eastAsia="Times New Roman" w:hAnsi="Arial" w:cs="Arial"/>
                <w:sz w:val="16"/>
                <w:szCs w:val="16"/>
              </w:rPr>
            </w:pPr>
            <w:proofErr w:type="spellStart"/>
            <w:r w:rsidRPr="003E130A">
              <w:rPr>
                <w:rFonts w:ascii="Arial" w:eastAsia="Times New Roman" w:hAnsi="Arial" w:cs="Arial"/>
                <w:sz w:val="16"/>
                <w:szCs w:val="16"/>
              </w:rPr>
              <w:t>Otros</w:t>
            </w:r>
            <w:proofErr w:type="spellEnd"/>
            <w:r w:rsidRPr="003E130A">
              <w:rPr>
                <w:rFonts w:ascii="Arial" w:eastAsia="Times New Roman" w:hAnsi="Arial" w:cs="Arial"/>
                <w:sz w:val="16"/>
                <w:szCs w:val="16"/>
              </w:rPr>
              <w:t xml:space="preserve"> </w:t>
            </w:r>
            <w:proofErr w:type="spellStart"/>
            <w:r w:rsidRPr="003E130A">
              <w:rPr>
                <w:rFonts w:ascii="Arial" w:eastAsia="Times New Roman" w:hAnsi="Arial" w:cs="Arial"/>
                <w:sz w:val="16"/>
                <w:szCs w:val="16"/>
              </w:rPr>
              <w:t>ingresos</w:t>
            </w:r>
            <w:proofErr w:type="spellEnd"/>
            <w:r w:rsidRPr="003E130A">
              <w:rPr>
                <w:rFonts w:ascii="Arial" w:eastAsia="Times New Roman" w:hAnsi="Arial" w:cs="Arial"/>
                <w:sz w:val="16"/>
                <w:szCs w:val="16"/>
              </w:rPr>
              <w:t>/</w:t>
            </w:r>
            <w:proofErr w:type="spellStart"/>
            <w:r w:rsidRPr="003E130A">
              <w:rPr>
                <w:rFonts w:ascii="Arial" w:eastAsia="Times New Roman" w:hAnsi="Arial" w:cs="Arial"/>
                <w:sz w:val="16"/>
                <w:szCs w:val="16"/>
              </w:rPr>
              <w:t>gastos</w:t>
            </w:r>
            <w:proofErr w:type="spellEnd"/>
            <w:r w:rsidRPr="003E130A">
              <w:rPr>
                <w:rFonts w:ascii="Arial" w:eastAsia="Times New Roman" w:hAnsi="Arial" w:cs="Arial"/>
                <w:sz w:val="16"/>
                <w:szCs w:val="16"/>
              </w:rPr>
              <w:t xml:space="preserve"> </w:t>
            </w:r>
            <w:proofErr w:type="spellStart"/>
            <w:r w:rsidRPr="003E130A">
              <w:rPr>
                <w:rFonts w:ascii="Arial" w:eastAsia="Times New Roman" w:hAnsi="Arial" w:cs="Arial"/>
                <w:sz w:val="16"/>
                <w:szCs w:val="16"/>
              </w:rPr>
              <w:t>operacionales</w:t>
            </w:r>
            <w:proofErr w:type="spellEnd"/>
          </w:p>
        </w:tc>
        <w:tc>
          <w:tcPr>
            <w:tcW w:w="654" w:type="dxa"/>
            <w:tcBorders>
              <w:top w:val="nil"/>
              <w:left w:val="nil"/>
              <w:bottom w:val="nil"/>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(0.2)</w:t>
            </w:r>
          </w:p>
        </w:tc>
        <w:tc>
          <w:tcPr>
            <w:tcW w:w="647" w:type="dxa"/>
            <w:tcBorders>
              <w:top w:val="nil"/>
              <w:left w:val="nil"/>
              <w:bottom w:val="nil"/>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1.1</w:t>
            </w:r>
          </w:p>
        </w:tc>
        <w:tc>
          <w:tcPr>
            <w:tcW w:w="727" w:type="dxa"/>
            <w:tcBorders>
              <w:top w:val="nil"/>
              <w:left w:val="nil"/>
              <w:bottom w:val="nil"/>
              <w:right w:val="nil"/>
            </w:tcBorders>
            <w:shd w:val="clear" w:color="000000" w:fill="F2F2F2"/>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0.1</w:t>
            </w:r>
          </w:p>
        </w:tc>
        <w:tc>
          <w:tcPr>
            <w:tcW w:w="776" w:type="dxa"/>
            <w:tcBorders>
              <w:top w:val="nil"/>
              <w:left w:val="nil"/>
              <w:bottom w:val="nil"/>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(6.0)</w:t>
            </w:r>
          </w:p>
        </w:tc>
        <w:tc>
          <w:tcPr>
            <w:tcW w:w="654" w:type="dxa"/>
            <w:tcBorders>
              <w:top w:val="nil"/>
              <w:left w:val="nil"/>
              <w:bottom w:val="nil"/>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(0.2)</w:t>
            </w:r>
          </w:p>
        </w:tc>
        <w:tc>
          <w:tcPr>
            <w:tcW w:w="647" w:type="dxa"/>
            <w:tcBorders>
              <w:top w:val="nil"/>
              <w:left w:val="nil"/>
              <w:bottom w:val="nil"/>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sz w:val="16"/>
                <w:szCs w:val="16"/>
              </w:rPr>
            </w:pPr>
            <w:r w:rsidRPr="003E130A">
              <w:rPr>
                <w:rFonts w:ascii="Arial" w:eastAsia="Times New Roman" w:hAnsi="Arial" w:cs="Arial"/>
                <w:sz w:val="16"/>
                <w:szCs w:val="16"/>
              </w:rPr>
              <w:t>(1.8)</w:t>
            </w:r>
          </w:p>
        </w:tc>
        <w:tc>
          <w:tcPr>
            <w:tcW w:w="776" w:type="dxa"/>
            <w:tcBorders>
              <w:top w:val="nil"/>
              <w:left w:val="nil"/>
              <w:bottom w:val="nil"/>
              <w:right w:val="nil"/>
            </w:tcBorders>
            <w:shd w:val="clear" w:color="000000" w:fill="D1F0F1"/>
            <w:noWrap/>
            <w:vAlign w:val="center"/>
            <w:hideMark/>
          </w:tcPr>
          <w:p w:rsidR="00EF55E4" w:rsidRPr="003E130A" w:rsidRDefault="00EF55E4" w:rsidP="00EF55E4">
            <w:pPr>
              <w:widowControl/>
              <w:jc w:val="right"/>
              <w:rPr>
                <w:rFonts w:ascii="Arial" w:eastAsia="Times New Roman" w:hAnsi="Arial" w:cs="Arial"/>
                <w:sz w:val="16"/>
                <w:szCs w:val="20"/>
              </w:rPr>
            </w:pPr>
            <w:r w:rsidRPr="003E130A">
              <w:rPr>
                <w:rFonts w:ascii="Arial" w:hAnsi="Arial" w:cs="Arial"/>
                <w:sz w:val="16"/>
                <w:szCs w:val="20"/>
              </w:rPr>
              <w:t>(2.4)</w:t>
            </w:r>
          </w:p>
        </w:tc>
        <w:tc>
          <w:tcPr>
            <w:tcW w:w="236" w:type="dxa"/>
            <w:tcBorders>
              <w:top w:val="nil"/>
              <w:left w:val="nil"/>
              <w:bottom w:val="nil"/>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sz w:val="16"/>
                <w:szCs w:val="16"/>
              </w:rPr>
            </w:pPr>
          </w:p>
        </w:tc>
        <w:tc>
          <w:tcPr>
            <w:tcW w:w="884" w:type="dxa"/>
            <w:tcBorders>
              <w:top w:val="single" w:sz="4" w:space="0" w:color="18B3B9"/>
              <w:left w:val="nil"/>
              <w:bottom w:val="nil"/>
              <w:right w:val="nil"/>
            </w:tcBorders>
            <w:shd w:val="clear" w:color="000000" w:fill="FFFFFF"/>
            <w:noWrap/>
            <w:vAlign w:val="bottom"/>
            <w:hideMark/>
          </w:tcPr>
          <w:p w:rsidR="00EF55E4" w:rsidRPr="003E130A" w:rsidRDefault="00EF55E4" w:rsidP="00EF55E4">
            <w:pPr>
              <w:jc w:val="right"/>
              <w:rPr>
                <w:rFonts w:ascii="Arial" w:hAnsi="Arial" w:cs="Arial"/>
                <w:sz w:val="16"/>
                <w:szCs w:val="20"/>
              </w:rPr>
            </w:pPr>
            <w:r w:rsidRPr="003E130A">
              <w:rPr>
                <w:rFonts w:ascii="Arial" w:hAnsi="Arial" w:cs="Arial"/>
                <w:sz w:val="16"/>
                <w:szCs w:val="20"/>
              </w:rPr>
              <w:t>N.A</w:t>
            </w:r>
          </w:p>
        </w:tc>
        <w:tc>
          <w:tcPr>
            <w:tcW w:w="705" w:type="dxa"/>
            <w:tcBorders>
              <w:top w:val="single" w:sz="4" w:space="0" w:color="18B3B9"/>
              <w:left w:val="nil"/>
              <w:bottom w:val="nil"/>
              <w:right w:val="nil"/>
            </w:tcBorders>
            <w:shd w:val="clear" w:color="000000" w:fill="FFFFFF"/>
            <w:noWrap/>
            <w:vAlign w:val="bottom"/>
            <w:hideMark/>
          </w:tcPr>
          <w:p w:rsidR="00EF55E4" w:rsidRPr="003E130A" w:rsidRDefault="00EF55E4" w:rsidP="00EF55E4">
            <w:pPr>
              <w:jc w:val="right"/>
              <w:rPr>
                <w:rFonts w:ascii="Arial" w:hAnsi="Arial" w:cs="Arial"/>
                <w:sz w:val="16"/>
                <w:szCs w:val="20"/>
              </w:rPr>
            </w:pPr>
            <w:r w:rsidRPr="003E130A">
              <w:rPr>
                <w:rFonts w:ascii="Arial" w:hAnsi="Arial" w:cs="Arial"/>
                <w:sz w:val="16"/>
                <w:szCs w:val="20"/>
              </w:rPr>
              <w:t>N.A</w:t>
            </w:r>
          </w:p>
        </w:tc>
      </w:tr>
      <w:tr w:rsidR="00EF55E4" w:rsidRPr="003E130A" w:rsidTr="00E419AB">
        <w:trPr>
          <w:trHeight w:val="300"/>
        </w:trPr>
        <w:tc>
          <w:tcPr>
            <w:tcW w:w="2366" w:type="dxa"/>
            <w:tcBorders>
              <w:top w:val="single" w:sz="4" w:space="0" w:color="18B3B9"/>
              <w:left w:val="nil"/>
              <w:bottom w:val="single" w:sz="8" w:space="0" w:color="18B3B9"/>
              <w:right w:val="nil"/>
            </w:tcBorders>
            <w:shd w:val="clear" w:color="auto" w:fill="auto"/>
            <w:vAlign w:val="center"/>
            <w:hideMark/>
          </w:tcPr>
          <w:p w:rsidR="00EF55E4" w:rsidRPr="003E130A" w:rsidRDefault="00E057F0" w:rsidP="00EF55E4">
            <w:pPr>
              <w:widowControl/>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INGRESOS DE OPERACIÓN</w:t>
            </w:r>
          </w:p>
        </w:tc>
        <w:tc>
          <w:tcPr>
            <w:tcW w:w="654"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56.9</w:t>
            </w:r>
          </w:p>
        </w:tc>
        <w:tc>
          <w:tcPr>
            <w:tcW w:w="647"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117.2</w:t>
            </w:r>
          </w:p>
        </w:tc>
        <w:tc>
          <w:tcPr>
            <w:tcW w:w="727" w:type="dxa"/>
            <w:tcBorders>
              <w:top w:val="single" w:sz="4" w:space="0" w:color="18B3B9"/>
              <w:left w:val="nil"/>
              <w:bottom w:val="single" w:sz="8" w:space="0" w:color="18B3B9"/>
              <w:right w:val="nil"/>
            </w:tcBorders>
            <w:shd w:val="clear" w:color="000000" w:fill="F2F2F2"/>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174.2</w:t>
            </w:r>
          </w:p>
        </w:tc>
        <w:tc>
          <w:tcPr>
            <w:tcW w:w="776"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218.9</w:t>
            </w:r>
          </w:p>
        </w:tc>
        <w:tc>
          <w:tcPr>
            <w:tcW w:w="654" w:type="dxa"/>
            <w:tcBorders>
              <w:top w:val="single" w:sz="4" w:space="0" w:color="18B3B9"/>
              <w:left w:val="nil"/>
              <w:bottom w:val="single" w:sz="8" w:space="0" w:color="18B3B9"/>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30.7</w:t>
            </w:r>
          </w:p>
        </w:tc>
        <w:tc>
          <w:tcPr>
            <w:tcW w:w="647" w:type="dxa"/>
            <w:tcBorders>
              <w:top w:val="single" w:sz="4" w:space="0" w:color="18B3B9"/>
              <w:left w:val="nil"/>
              <w:bottom w:val="single" w:sz="8" w:space="0" w:color="18B3B9"/>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55.4</w:t>
            </w:r>
          </w:p>
        </w:tc>
        <w:tc>
          <w:tcPr>
            <w:tcW w:w="776" w:type="dxa"/>
            <w:tcBorders>
              <w:top w:val="single" w:sz="4" w:space="0" w:color="18B3B9"/>
              <w:left w:val="nil"/>
              <w:bottom w:val="single" w:sz="8" w:space="0" w:color="18B3B9"/>
              <w:right w:val="nil"/>
            </w:tcBorders>
            <w:shd w:val="clear" w:color="000000" w:fill="D1F0F1"/>
            <w:noWrap/>
            <w:vAlign w:val="center"/>
            <w:hideMark/>
          </w:tcPr>
          <w:p w:rsidR="00EF55E4" w:rsidRPr="003E130A" w:rsidRDefault="00EF55E4" w:rsidP="00EF55E4">
            <w:pPr>
              <w:jc w:val="right"/>
              <w:rPr>
                <w:rFonts w:ascii="Arial" w:hAnsi="Arial" w:cs="Arial"/>
                <w:b/>
                <w:bCs/>
                <w:color w:val="18B3B9"/>
                <w:sz w:val="16"/>
                <w:szCs w:val="20"/>
              </w:rPr>
            </w:pPr>
            <w:r w:rsidRPr="003E130A">
              <w:rPr>
                <w:rFonts w:ascii="Arial" w:hAnsi="Arial" w:cs="Arial"/>
                <w:b/>
                <w:bCs/>
                <w:color w:val="18B3B9"/>
                <w:sz w:val="16"/>
                <w:szCs w:val="20"/>
              </w:rPr>
              <w:t>95.7</w:t>
            </w:r>
          </w:p>
        </w:tc>
        <w:tc>
          <w:tcPr>
            <w:tcW w:w="236" w:type="dxa"/>
            <w:tcBorders>
              <w:top w:val="nil"/>
              <w:left w:val="nil"/>
              <w:bottom w:val="nil"/>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p>
        </w:tc>
        <w:tc>
          <w:tcPr>
            <w:tcW w:w="884"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jc w:val="right"/>
              <w:rPr>
                <w:rFonts w:ascii="Arial" w:hAnsi="Arial" w:cs="Arial"/>
                <w:b/>
                <w:bCs/>
                <w:color w:val="18B3B9"/>
                <w:sz w:val="16"/>
                <w:szCs w:val="20"/>
              </w:rPr>
            </w:pPr>
            <w:r w:rsidRPr="003E130A">
              <w:rPr>
                <w:rFonts w:ascii="Arial" w:hAnsi="Arial" w:cs="Arial"/>
                <w:b/>
                <w:bCs/>
                <w:color w:val="18B3B9"/>
                <w:sz w:val="16"/>
                <w:szCs w:val="20"/>
              </w:rPr>
              <w:t>(45.1)%</w:t>
            </w:r>
          </w:p>
        </w:tc>
        <w:tc>
          <w:tcPr>
            <w:tcW w:w="705" w:type="dxa"/>
            <w:tcBorders>
              <w:top w:val="single" w:sz="4" w:space="0" w:color="18B3B9"/>
              <w:left w:val="nil"/>
              <w:bottom w:val="single" w:sz="8" w:space="0" w:color="18B3B9"/>
              <w:right w:val="nil"/>
            </w:tcBorders>
            <w:shd w:val="clear" w:color="000000" w:fill="FFFFFF"/>
            <w:noWrap/>
            <w:vAlign w:val="center"/>
            <w:hideMark/>
          </w:tcPr>
          <w:p w:rsidR="00EF55E4" w:rsidRPr="003E130A" w:rsidRDefault="00EF55E4" w:rsidP="00EF55E4">
            <w:pPr>
              <w:jc w:val="right"/>
              <w:rPr>
                <w:rFonts w:ascii="Arial" w:hAnsi="Arial" w:cs="Arial"/>
                <w:b/>
                <w:bCs/>
                <w:color w:val="18B3B9"/>
                <w:sz w:val="16"/>
                <w:szCs w:val="20"/>
              </w:rPr>
            </w:pPr>
            <w:r w:rsidRPr="003E130A">
              <w:rPr>
                <w:rFonts w:ascii="Arial" w:hAnsi="Arial" w:cs="Arial"/>
                <w:b/>
                <w:bCs/>
                <w:color w:val="18B3B9"/>
                <w:sz w:val="16"/>
                <w:szCs w:val="20"/>
              </w:rPr>
              <w:t>(44.6)%</w:t>
            </w:r>
          </w:p>
        </w:tc>
      </w:tr>
      <w:tr w:rsidR="00EF55E4" w:rsidRPr="003E130A" w:rsidTr="00E419AB">
        <w:trPr>
          <w:trHeight w:val="300"/>
        </w:trPr>
        <w:tc>
          <w:tcPr>
            <w:tcW w:w="2366" w:type="dxa"/>
            <w:tcBorders>
              <w:top w:val="single" w:sz="4" w:space="0" w:color="18B3B9"/>
              <w:left w:val="nil"/>
              <w:bottom w:val="single" w:sz="8" w:space="0" w:color="18B3B9"/>
              <w:right w:val="nil"/>
            </w:tcBorders>
            <w:shd w:val="clear" w:color="auto" w:fill="auto"/>
            <w:vAlign w:val="center"/>
            <w:hideMark/>
          </w:tcPr>
          <w:p w:rsidR="00EF55E4" w:rsidRPr="003E130A" w:rsidRDefault="00E057F0" w:rsidP="00EF55E4">
            <w:pPr>
              <w:widowControl/>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INGRESOS NETOS</w:t>
            </w:r>
          </w:p>
        </w:tc>
        <w:tc>
          <w:tcPr>
            <w:tcW w:w="654"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36.4</w:t>
            </w:r>
          </w:p>
        </w:tc>
        <w:tc>
          <w:tcPr>
            <w:tcW w:w="647"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78.5</w:t>
            </w:r>
          </w:p>
        </w:tc>
        <w:tc>
          <w:tcPr>
            <w:tcW w:w="727" w:type="dxa"/>
            <w:tcBorders>
              <w:top w:val="single" w:sz="4" w:space="0" w:color="18B3B9"/>
              <w:left w:val="nil"/>
              <w:bottom w:val="single" w:sz="8" w:space="0" w:color="18B3B9"/>
              <w:right w:val="nil"/>
            </w:tcBorders>
            <w:shd w:val="clear" w:color="000000" w:fill="F2F2F2"/>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117.3</w:t>
            </w:r>
          </w:p>
        </w:tc>
        <w:tc>
          <w:tcPr>
            <w:tcW w:w="776"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146.7</w:t>
            </w:r>
          </w:p>
        </w:tc>
        <w:tc>
          <w:tcPr>
            <w:tcW w:w="654" w:type="dxa"/>
            <w:tcBorders>
              <w:top w:val="single" w:sz="4" w:space="0" w:color="18B3B9"/>
              <w:left w:val="nil"/>
              <w:bottom w:val="single" w:sz="8" w:space="0" w:color="18B3B9"/>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12.7</w:t>
            </w:r>
          </w:p>
        </w:tc>
        <w:tc>
          <w:tcPr>
            <w:tcW w:w="647" w:type="dxa"/>
            <w:tcBorders>
              <w:top w:val="single" w:sz="4" w:space="0" w:color="18B3B9"/>
              <w:left w:val="nil"/>
              <w:bottom w:val="single" w:sz="8" w:space="0" w:color="18B3B9"/>
              <w:right w:val="nil"/>
            </w:tcBorders>
            <w:shd w:val="clear" w:color="000000" w:fill="FFFFFF"/>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r w:rsidRPr="003E130A">
              <w:rPr>
                <w:rFonts w:ascii="Arial" w:eastAsia="Times New Roman" w:hAnsi="Arial" w:cs="Arial"/>
                <w:b/>
                <w:bCs/>
                <w:color w:val="18B3B9"/>
                <w:sz w:val="16"/>
                <w:szCs w:val="16"/>
              </w:rPr>
              <w:t>24.0</w:t>
            </w:r>
          </w:p>
        </w:tc>
        <w:tc>
          <w:tcPr>
            <w:tcW w:w="776" w:type="dxa"/>
            <w:tcBorders>
              <w:top w:val="single" w:sz="4" w:space="0" w:color="18B3B9"/>
              <w:left w:val="nil"/>
              <w:bottom w:val="single" w:sz="8" w:space="0" w:color="18B3B9"/>
              <w:right w:val="nil"/>
            </w:tcBorders>
            <w:shd w:val="clear" w:color="000000" w:fill="D1F0F1"/>
            <w:noWrap/>
            <w:vAlign w:val="center"/>
            <w:hideMark/>
          </w:tcPr>
          <w:p w:rsidR="00EF55E4" w:rsidRPr="003E130A" w:rsidRDefault="00EF55E4" w:rsidP="00EF55E4">
            <w:pPr>
              <w:jc w:val="right"/>
              <w:rPr>
                <w:rFonts w:ascii="Arial" w:hAnsi="Arial" w:cs="Arial"/>
                <w:b/>
                <w:bCs/>
                <w:color w:val="18B3B9"/>
                <w:sz w:val="16"/>
                <w:szCs w:val="20"/>
              </w:rPr>
            </w:pPr>
            <w:r w:rsidRPr="003E130A">
              <w:rPr>
                <w:rFonts w:ascii="Arial" w:hAnsi="Arial" w:cs="Arial"/>
                <w:b/>
                <w:bCs/>
                <w:color w:val="18B3B9"/>
                <w:sz w:val="16"/>
                <w:szCs w:val="20"/>
              </w:rPr>
              <w:t>52.4</w:t>
            </w:r>
          </w:p>
        </w:tc>
        <w:tc>
          <w:tcPr>
            <w:tcW w:w="236" w:type="dxa"/>
            <w:tcBorders>
              <w:top w:val="nil"/>
              <w:left w:val="nil"/>
              <w:bottom w:val="nil"/>
              <w:right w:val="nil"/>
            </w:tcBorders>
            <w:shd w:val="clear" w:color="auto" w:fill="auto"/>
            <w:noWrap/>
            <w:vAlign w:val="center"/>
            <w:hideMark/>
          </w:tcPr>
          <w:p w:rsidR="00EF55E4" w:rsidRPr="003E130A" w:rsidRDefault="00EF55E4" w:rsidP="00EF55E4">
            <w:pPr>
              <w:widowControl/>
              <w:jc w:val="right"/>
              <w:rPr>
                <w:rFonts w:ascii="Arial" w:eastAsia="Times New Roman" w:hAnsi="Arial" w:cs="Arial"/>
                <w:b/>
                <w:bCs/>
                <w:color w:val="18B3B9"/>
                <w:sz w:val="16"/>
                <w:szCs w:val="16"/>
              </w:rPr>
            </w:pPr>
          </w:p>
        </w:tc>
        <w:tc>
          <w:tcPr>
            <w:tcW w:w="884" w:type="dxa"/>
            <w:tcBorders>
              <w:top w:val="single" w:sz="4" w:space="0" w:color="18B3B9"/>
              <w:left w:val="nil"/>
              <w:bottom w:val="single" w:sz="8" w:space="0" w:color="18B3B9"/>
              <w:right w:val="nil"/>
            </w:tcBorders>
            <w:shd w:val="clear" w:color="auto" w:fill="auto"/>
            <w:noWrap/>
            <w:vAlign w:val="center"/>
            <w:hideMark/>
          </w:tcPr>
          <w:p w:rsidR="00EF55E4" w:rsidRPr="003E130A" w:rsidRDefault="00EF55E4" w:rsidP="00EF55E4">
            <w:pPr>
              <w:jc w:val="right"/>
              <w:rPr>
                <w:rFonts w:ascii="Arial" w:hAnsi="Arial" w:cs="Arial"/>
                <w:b/>
                <w:bCs/>
                <w:color w:val="18B3B9"/>
                <w:sz w:val="16"/>
                <w:szCs w:val="20"/>
              </w:rPr>
            </w:pPr>
            <w:r w:rsidRPr="003E130A">
              <w:rPr>
                <w:rFonts w:ascii="Arial" w:hAnsi="Arial" w:cs="Arial"/>
                <w:b/>
                <w:bCs/>
                <w:color w:val="18B3B9"/>
                <w:sz w:val="16"/>
                <w:szCs w:val="20"/>
              </w:rPr>
              <w:t>(55.3)%</w:t>
            </w:r>
          </w:p>
        </w:tc>
        <w:tc>
          <w:tcPr>
            <w:tcW w:w="705" w:type="dxa"/>
            <w:tcBorders>
              <w:top w:val="single" w:sz="4" w:space="0" w:color="18B3B9"/>
              <w:left w:val="nil"/>
              <w:bottom w:val="single" w:sz="8" w:space="0" w:color="18B3B9"/>
              <w:right w:val="nil"/>
            </w:tcBorders>
            <w:shd w:val="clear" w:color="000000" w:fill="FFFFFF"/>
            <w:noWrap/>
            <w:vAlign w:val="center"/>
            <w:hideMark/>
          </w:tcPr>
          <w:p w:rsidR="00EF55E4" w:rsidRPr="003E130A" w:rsidRDefault="00EF55E4" w:rsidP="00EF55E4">
            <w:pPr>
              <w:jc w:val="right"/>
              <w:rPr>
                <w:rFonts w:ascii="Arial" w:hAnsi="Arial" w:cs="Arial"/>
                <w:b/>
                <w:bCs/>
                <w:color w:val="18B3B9"/>
                <w:sz w:val="16"/>
                <w:szCs w:val="20"/>
              </w:rPr>
            </w:pPr>
            <w:r w:rsidRPr="003E130A">
              <w:rPr>
                <w:rFonts w:ascii="Arial" w:hAnsi="Arial" w:cs="Arial"/>
                <w:b/>
                <w:bCs/>
                <w:color w:val="18B3B9"/>
                <w:sz w:val="16"/>
                <w:szCs w:val="20"/>
              </w:rPr>
              <w:t>(55.2)%</w:t>
            </w:r>
          </w:p>
        </w:tc>
      </w:tr>
      <w:tr w:rsidR="00E419AB" w:rsidRPr="003E130A" w:rsidTr="00E419AB">
        <w:trPr>
          <w:trHeight w:val="330"/>
        </w:trPr>
        <w:tc>
          <w:tcPr>
            <w:tcW w:w="2366" w:type="dxa"/>
            <w:tcBorders>
              <w:top w:val="nil"/>
              <w:left w:val="nil"/>
              <w:bottom w:val="nil"/>
              <w:right w:val="nil"/>
            </w:tcBorders>
            <w:shd w:val="clear" w:color="auto" w:fill="auto"/>
            <w:vAlign w:val="center"/>
            <w:hideMark/>
          </w:tcPr>
          <w:p w:rsidR="00E419AB" w:rsidRPr="003E130A" w:rsidRDefault="00E057F0" w:rsidP="00E419AB">
            <w:pPr>
              <w:widowControl/>
              <w:rPr>
                <w:rFonts w:ascii="Arial" w:eastAsia="Times New Roman" w:hAnsi="Arial" w:cs="Arial"/>
                <w:i/>
                <w:iCs/>
                <w:color w:val="808080"/>
                <w:sz w:val="14"/>
                <w:szCs w:val="16"/>
                <w:lang w:val="es-ES"/>
              </w:rPr>
            </w:pPr>
            <w:r w:rsidRPr="003E130A">
              <w:rPr>
                <w:rFonts w:ascii="Arial" w:eastAsia="Times New Roman" w:hAnsi="Arial" w:cs="Arial"/>
                <w:i/>
                <w:iCs/>
                <w:color w:val="808080"/>
                <w:sz w:val="14"/>
                <w:szCs w:val="16"/>
                <w:lang w:val="es-ES"/>
              </w:rPr>
              <w:t>Tasa de impuesto a la renta</w:t>
            </w:r>
          </w:p>
        </w:tc>
        <w:tc>
          <w:tcPr>
            <w:tcW w:w="654"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i/>
                <w:iCs/>
                <w:color w:val="808080"/>
                <w:sz w:val="14"/>
                <w:szCs w:val="16"/>
              </w:rPr>
            </w:pPr>
            <w:r w:rsidRPr="003E130A">
              <w:rPr>
                <w:rFonts w:ascii="Arial" w:eastAsia="Times New Roman" w:hAnsi="Arial" w:cs="Arial"/>
                <w:i/>
                <w:iCs/>
                <w:color w:val="808080"/>
                <w:sz w:val="14"/>
                <w:szCs w:val="16"/>
              </w:rPr>
              <w:t>29.4%</w:t>
            </w:r>
          </w:p>
        </w:tc>
        <w:tc>
          <w:tcPr>
            <w:tcW w:w="647"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i/>
                <w:iCs/>
                <w:color w:val="808080"/>
                <w:sz w:val="14"/>
                <w:szCs w:val="16"/>
              </w:rPr>
            </w:pPr>
            <w:r w:rsidRPr="003E130A">
              <w:rPr>
                <w:rFonts w:ascii="Arial" w:eastAsia="Times New Roman" w:hAnsi="Arial" w:cs="Arial"/>
                <w:i/>
                <w:iCs/>
                <w:color w:val="808080"/>
                <w:sz w:val="14"/>
                <w:szCs w:val="16"/>
              </w:rPr>
              <w:t>29.2%</w:t>
            </w:r>
          </w:p>
        </w:tc>
        <w:tc>
          <w:tcPr>
            <w:tcW w:w="727" w:type="dxa"/>
            <w:tcBorders>
              <w:top w:val="nil"/>
              <w:left w:val="nil"/>
              <w:bottom w:val="nil"/>
              <w:right w:val="nil"/>
            </w:tcBorders>
            <w:shd w:val="clear" w:color="000000" w:fill="F2F2F2"/>
            <w:noWrap/>
            <w:vAlign w:val="center"/>
            <w:hideMark/>
          </w:tcPr>
          <w:p w:rsidR="00E419AB" w:rsidRPr="003E130A" w:rsidRDefault="00E419AB" w:rsidP="00E419AB">
            <w:pPr>
              <w:widowControl/>
              <w:jc w:val="right"/>
              <w:rPr>
                <w:rFonts w:ascii="Arial" w:eastAsia="Times New Roman" w:hAnsi="Arial" w:cs="Arial"/>
                <w:i/>
                <w:iCs/>
                <w:color w:val="808080"/>
                <w:sz w:val="14"/>
                <w:szCs w:val="16"/>
              </w:rPr>
            </w:pPr>
            <w:r w:rsidRPr="003E130A">
              <w:rPr>
                <w:rFonts w:ascii="Arial" w:eastAsia="Times New Roman" w:hAnsi="Arial" w:cs="Arial"/>
                <w:i/>
                <w:iCs/>
                <w:color w:val="808080"/>
                <w:sz w:val="14"/>
                <w:szCs w:val="16"/>
              </w:rPr>
              <w:t>27.8%</w:t>
            </w:r>
          </w:p>
        </w:tc>
        <w:tc>
          <w:tcPr>
            <w:tcW w:w="776"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i/>
                <w:iCs/>
                <w:color w:val="808080"/>
                <w:sz w:val="14"/>
                <w:szCs w:val="16"/>
              </w:rPr>
            </w:pPr>
            <w:r w:rsidRPr="003E130A">
              <w:rPr>
                <w:rFonts w:ascii="Arial" w:eastAsia="Times New Roman" w:hAnsi="Arial" w:cs="Arial"/>
                <w:i/>
                <w:iCs/>
                <w:color w:val="808080"/>
                <w:sz w:val="14"/>
                <w:szCs w:val="16"/>
              </w:rPr>
              <w:t>28.0%</w:t>
            </w:r>
          </w:p>
        </w:tc>
        <w:tc>
          <w:tcPr>
            <w:tcW w:w="654" w:type="dxa"/>
            <w:tcBorders>
              <w:top w:val="nil"/>
              <w:left w:val="nil"/>
              <w:bottom w:val="nil"/>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i/>
                <w:iCs/>
                <w:color w:val="808080"/>
                <w:sz w:val="14"/>
                <w:szCs w:val="16"/>
              </w:rPr>
            </w:pPr>
            <w:r w:rsidRPr="003E130A">
              <w:rPr>
                <w:rFonts w:ascii="Arial" w:eastAsia="Times New Roman" w:hAnsi="Arial" w:cs="Arial"/>
                <w:i/>
                <w:iCs/>
                <w:color w:val="808080"/>
                <w:sz w:val="14"/>
                <w:szCs w:val="16"/>
              </w:rPr>
              <w:t>50.5%</w:t>
            </w:r>
          </w:p>
        </w:tc>
        <w:tc>
          <w:tcPr>
            <w:tcW w:w="647" w:type="dxa"/>
            <w:tcBorders>
              <w:top w:val="nil"/>
              <w:left w:val="nil"/>
              <w:bottom w:val="nil"/>
              <w:right w:val="nil"/>
            </w:tcBorders>
            <w:shd w:val="clear" w:color="000000" w:fill="FFFFFF"/>
            <w:noWrap/>
            <w:vAlign w:val="center"/>
            <w:hideMark/>
          </w:tcPr>
          <w:p w:rsidR="00E419AB" w:rsidRPr="003E130A" w:rsidRDefault="00E419AB" w:rsidP="00E419AB">
            <w:pPr>
              <w:widowControl/>
              <w:jc w:val="right"/>
              <w:rPr>
                <w:rFonts w:ascii="Arial" w:eastAsia="Times New Roman" w:hAnsi="Arial" w:cs="Arial"/>
                <w:i/>
                <w:iCs/>
                <w:color w:val="808080"/>
                <w:sz w:val="14"/>
                <w:szCs w:val="16"/>
              </w:rPr>
            </w:pPr>
            <w:r w:rsidRPr="003E130A">
              <w:rPr>
                <w:rFonts w:ascii="Arial" w:eastAsia="Times New Roman" w:hAnsi="Arial" w:cs="Arial"/>
                <w:i/>
                <w:iCs/>
                <w:color w:val="808080"/>
                <w:sz w:val="14"/>
                <w:szCs w:val="16"/>
              </w:rPr>
              <w:t>46.0%</w:t>
            </w:r>
          </w:p>
        </w:tc>
        <w:tc>
          <w:tcPr>
            <w:tcW w:w="776"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i/>
                <w:iCs/>
                <w:color w:val="808080"/>
                <w:sz w:val="14"/>
                <w:szCs w:val="16"/>
              </w:rPr>
            </w:pPr>
            <w:r w:rsidRPr="003E130A">
              <w:rPr>
                <w:rFonts w:ascii="Arial" w:eastAsia="Times New Roman" w:hAnsi="Arial" w:cs="Arial"/>
                <w:i/>
                <w:iCs/>
                <w:color w:val="808080"/>
                <w:sz w:val="14"/>
                <w:szCs w:val="16"/>
              </w:rPr>
              <w:t>44.4%</w:t>
            </w:r>
          </w:p>
        </w:tc>
        <w:tc>
          <w:tcPr>
            <w:tcW w:w="236"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i/>
                <w:iCs/>
                <w:color w:val="808080"/>
                <w:sz w:val="14"/>
                <w:szCs w:val="16"/>
              </w:rPr>
            </w:pPr>
          </w:p>
        </w:tc>
        <w:tc>
          <w:tcPr>
            <w:tcW w:w="884" w:type="dxa"/>
            <w:tcBorders>
              <w:top w:val="nil"/>
              <w:left w:val="nil"/>
              <w:bottom w:val="nil"/>
              <w:right w:val="nil"/>
            </w:tcBorders>
            <w:shd w:val="clear" w:color="auto" w:fill="auto"/>
            <w:noWrap/>
            <w:vAlign w:val="center"/>
            <w:hideMark/>
          </w:tcPr>
          <w:p w:rsidR="00E419AB" w:rsidRPr="003E130A" w:rsidRDefault="00E419AB" w:rsidP="00A154B2">
            <w:pPr>
              <w:widowControl/>
              <w:jc w:val="right"/>
              <w:rPr>
                <w:rFonts w:ascii="Arial" w:eastAsia="Times New Roman" w:hAnsi="Arial" w:cs="Arial"/>
                <w:i/>
                <w:iCs/>
                <w:color w:val="18B3B9"/>
                <w:sz w:val="14"/>
                <w:szCs w:val="16"/>
              </w:rPr>
            </w:pPr>
            <w:r w:rsidRPr="003E130A">
              <w:rPr>
                <w:rFonts w:ascii="Arial" w:eastAsia="Times New Roman" w:hAnsi="Arial" w:cs="Arial"/>
                <w:i/>
                <w:iCs/>
                <w:color w:val="18B3B9"/>
                <w:sz w:val="14"/>
                <w:szCs w:val="16"/>
              </w:rPr>
              <w:t xml:space="preserve">+16.6 </w:t>
            </w:r>
            <w:proofErr w:type="spellStart"/>
            <w:r w:rsidRPr="003E130A">
              <w:rPr>
                <w:rFonts w:ascii="Arial" w:eastAsia="Times New Roman" w:hAnsi="Arial" w:cs="Arial"/>
                <w:i/>
                <w:iCs/>
                <w:color w:val="18B3B9"/>
                <w:sz w:val="14"/>
                <w:szCs w:val="16"/>
              </w:rPr>
              <w:t>ppts</w:t>
            </w:r>
            <w:proofErr w:type="spellEnd"/>
          </w:p>
        </w:tc>
        <w:tc>
          <w:tcPr>
            <w:tcW w:w="705" w:type="dxa"/>
            <w:tcBorders>
              <w:top w:val="nil"/>
              <w:left w:val="nil"/>
              <w:bottom w:val="nil"/>
              <w:right w:val="nil"/>
            </w:tcBorders>
            <w:shd w:val="clear" w:color="auto" w:fill="auto"/>
            <w:noWrap/>
            <w:vAlign w:val="center"/>
            <w:hideMark/>
          </w:tcPr>
          <w:p w:rsidR="00E419AB" w:rsidRPr="003E130A" w:rsidRDefault="00E419AB" w:rsidP="00E419AB">
            <w:pPr>
              <w:widowControl/>
              <w:jc w:val="right"/>
              <w:rPr>
                <w:rFonts w:ascii="Arial" w:eastAsia="Times New Roman" w:hAnsi="Arial" w:cs="Arial"/>
                <w:i/>
                <w:iCs/>
                <w:color w:val="18B3B9"/>
                <w:sz w:val="14"/>
                <w:szCs w:val="16"/>
              </w:rPr>
            </w:pPr>
          </w:p>
        </w:tc>
      </w:tr>
    </w:tbl>
    <w:p w:rsidR="00344720" w:rsidRPr="003E130A" w:rsidRDefault="00344720" w:rsidP="00DB6ED7">
      <w:pPr>
        <w:widowControl/>
        <w:rPr>
          <w:rFonts w:ascii="Arial" w:hAnsi="Arial" w:cs="Arial"/>
          <w:bCs/>
          <w:sz w:val="20"/>
          <w:szCs w:val="20"/>
          <w:u w:val="single"/>
          <w:lang w:val="en-US"/>
        </w:rPr>
      </w:pPr>
    </w:p>
    <w:p w:rsidR="002D29A1" w:rsidRPr="003E130A" w:rsidRDefault="002D29A1" w:rsidP="00DB6ED7">
      <w:pPr>
        <w:widowControl/>
        <w:rPr>
          <w:rFonts w:ascii="Arial" w:hAnsi="Arial" w:cs="Arial"/>
          <w:bCs/>
          <w:sz w:val="20"/>
          <w:szCs w:val="20"/>
          <w:u w:val="single"/>
          <w:lang w:val="en-US"/>
        </w:rPr>
      </w:pPr>
    </w:p>
    <w:p w:rsidR="00712CE9" w:rsidRPr="007569DF" w:rsidRDefault="002D29A1" w:rsidP="00712CE9">
      <w:pPr>
        <w:widowControl/>
        <w:suppressAutoHyphens/>
        <w:spacing w:line="270" w:lineRule="exact"/>
        <w:jc w:val="both"/>
        <w:rPr>
          <w:rFonts w:ascii="Arial" w:eastAsia="PMingLiU" w:hAnsi="Arial"/>
          <w:sz w:val="20"/>
          <w:szCs w:val="20"/>
          <w:lang w:val="es-MX" w:eastAsia="zh-TW"/>
        </w:rPr>
      </w:pPr>
      <w:r w:rsidRPr="003E130A">
        <w:rPr>
          <w:rStyle w:val="Refdenotaalpie"/>
          <w:rFonts w:ascii="Arial" w:hAnsi="Arial" w:cs="Arial"/>
          <w:sz w:val="16"/>
          <w:lang w:val="es-ES"/>
        </w:rPr>
        <w:t xml:space="preserve">* </w:t>
      </w:r>
      <w:r w:rsidR="00E057F0" w:rsidRPr="003E130A">
        <w:rPr>
          <w:rFonts w:ascii="Arial" w:hAnsi="Arial" w:cs="Arial"/>
          <w:sz w:val="16"/>
          <w:lang w:val="es-ES"/>
        </w:rPr>
        <w:t xml:space="preserve">También excluye el impacto del alcance </w:t>
      </w:r>
      <w:r w:rsidR="002D16EC" w:rsidRPr="003E130A">
        <w:rPr>
          <w:rFonts w:ascii="Arial" w:hAnsi="Arial" w:cs="Arial"/>
          <w:b/>
          <w:bCs/>
          <w:lang w:val="es-ES" w:eastAsia="ar-SA"/>
        </w:rPr>
        <w:br w:type="page"/>
      </w:r>
    </w:p>
    <w:tbl>
      <w:tblPr>
        <w:tblpPr w:leftFromText="141" w:rightFromText="141" w:bottomFromText="200" w:vertAnchor="text" w:horzAnchor="margin" w:tblpY="58"/>
        <w:tblW w:w="8505" w:type="dxa"/>
        <w:tblLayout w:type="fixed"/>
        <w:tblCellMar>
          <w:left w:w="0" w:type="dxa"/>
          <w:right w:w="0" w:type="dxa"/>
        </w:tblCellMar>
        <w:tblLook w:val="00A0" w:firstRow="1" w:lastRow="0" w:firstColumn="1" w:lastColumn="0" w:noHBand="0" w:noVBand="0"/>
      </w:tblPr>
      <w:tblGrid>
        <w:gridCol w:w="8505"/>
      </w:tblGrid>
      <w:tr w:rsidR="00712CE9" w:rsidRPr="000347C5" w:rsidTr="00A72427">
        <w:trPr>
          <w:trHeight w:val="4678"/>
        </w:trPr>
        <w:tc>
          <w:tcPr>
            <w:tcW w:w="8505" w:type="dxa"/>
            <w:shd w:val="clear" w:color="auto" w:fill="E9EDF4"/>
          </w:tcPr>
          <w:p w:rsidR="00712CE9" w:rsidRPr="00A727B6" w:rsidRDefault="00712CE9" w:rsidP="00A72427">
            <w:pPr>
              <w:spacing w:before="60" w:after="60" w:line="240" w:lineRule="atLeast"/>
              <w:ind w:left="142" w:right="113"/>
              <w:jc w:val="both"/>
              <w:rPr>
                <w:rFonts w:ascii="Arial" w:hAnsi="Arial" w:cs="Arial"/>
                <w:b/>
                <w:sz w:val="16"/>
                <w:szCs w:val="16"/>
              </w:rPr>
            </w:pPr>
            <w:r w:rsidRPr="00A727B6">
              <w:rPr>
                <w:rFonts w:ascii="Arial" w:hAnsi="Arial" w:cs="Arial"/>
                <w:b/>
                <w:sz w:val="16"/>
                <w:szCs w:val="16"/>
              </w:rPr>
              <w:lastRenderedPageBreak/>
              <w:t>Coface: for trade – Building business together</w:t>
            </w:r>
          </w:p>
          <w:p w:rsidR="00712CE9" w:rsidRPr="00A727B6" w:rsidRDefault="00712CE9" w:rsidP="00A72427">
            <w:pPr>
              <w:spacing w:before="60" w:after="60" w:line="240" w:lineRule="atLeast"/>
              <w:ind w:left="142" w:right="113"/>
              <w:jc w:val="both"/>
              <w:rPr>
                <w:rFonts w:ascii="Arial" w:hAnsi="Arial" w:cs="Arial"/>
                <w:b/>
                <w:sz w:val="16"/>
                <w:szCs w:val="16"/>
              </w:rPr>
            </w:pPr>
          </w:p>
          <w:p w:rsidR="00712CE9" w:rsidRDefault="00712CE9" w:rsidP="00A72427">
            <w:pPr>
              <w:spacing w:before="60" w:after="60" w:line="240" w:lineRule="atLeast"/>
              <w:ind w:left="142" w:right="113"/>
              <w:jc w:val="both"/>
              <w:rPr>
                <w:rFonts w:ascii="Arial" w:hAnsi="Arial" w:cs="Arial"/>
                <w:sz w:val="16"/>
                <w:szCs w:val="16"/>
                <w:lang w:val="es-MX"/>
              </w:rPr>
            </w:pPr>
            <w:r w:rsidRPr="000F2A69">
              <w:rPr>
                <w:rFonts w:ascii="Arial" w:hAnsi="Arial" w:cs="Arial"/>
                <w:sz w:val="16"/>
                <w:szCs w:val="16"/>
                <w:lang w:val="es-MX"/>
              </w:rPr>
              <w:t>70 años de experiencia y su ampli</w:t>
            </w:r>
            <w:r>
              <w:rPr>
                <w:rFonts w:ascii="Arial" w:hAnsi="Arial" w:cs="Arial"/>
                <w:sz w:val="16"/>
                <w:szCs w:val="16"/>
                <w:lang w:val="es-MX"/>
              </w:rPr>
              <w:t>a red</w:t>
            </w:r>
            <w:r w:rsidRPr="000F2A69">
              <w:rPr>
                <w:rFonts w:ascii="Arial" w:hAnsi="Arial" w:cs="Arial"/>
                <w:sz w:val="16"/>
                <w:szCs w:val="16"/>
                <w:lang w:val="es-MX"/>
              </w:rPr>
              <w:t xml:space="preserve"> territorial </w:t>
            </w:r>
            <w:r>
              <w:rPr>
                <w:rFonts w:ascii="Arial" w:hAnsi="Arial" w:cs="Arial"/>
                <w:sz w:val="16"/>
                <w:szCs w:val="16"/>
                <w:lang w:val="es-MX"/>
              </w:rPr>
              <w:t>han convertido</w:t>
            </w:r>
            <w:r w:rsidRPr="000F2A69">
              <w:rPr>
                <w:rFonts w:ascii="Arial" w:hAnsi="Arial" w:cs="Arial"/>
                <w:sz w:val="16"/>
                <w:szCs w:val="16"/>
                <w:lang w:val="es-MX"/>
              </w:rPr>
              <w:t xml:space="preserve"> a Coface en un referente en seguros de crédito, gestión de riesgos y economía global. Con la ambición de ser la aseguradora de crédito global más ágil del sector, los expertos de Coface trabajan al ritmo de la economía mundial, apoyando a </w:t>
            </w:r>
            <w:r>
              <w:rPr>
                <w:rFonts w:ascii="Arial" w:hAnsi="Arial" w:cs="Arial"/>
                <w:sz w:val="16"/>
                <w:szCs w:val="16"/>
                <w:lang w:val="es-MX"/>
              </w:rPr>
              <w:t xml:space="preserve">sus </w:t>
            </w:r>
            <w:r w:rsidRPr="000F2A69">
              <w:rPr>
                <w:rFonts w:ascii="Arial" w:hAnsi="Arial" w:cs="Arial"/>
                <w:sz w:val="16"/>
                <w:szCs w:val="16"/>
                <w:lang w:val="es-MX"/>
              </w:rPr>
              <w:t>50</w:t>
            </w:r>
            <w:r>
              <w:rPr>
                <w:rFonts w:ascii="Arial" w:hAnsi="Arial" w:cs="Arial"/>
                <w:sz w:val="16"/>
                <w:szCs w:val="16"/>
                <w:lang w:val="es-MX"/>
              </w:rPr>
              <w:t>.</w:t>
            </w:r>
            <w:r w:rsidRPr="000F2A69">
              <w:rPr>
                <w:rFonts w:ascii="Arial" w:hAnsi="Arial" w:cs="Arial"/>
                <w:color w:val="000000"/>
                <w:sz w:val="16"/>
                <w:szCs w:val="18"/>
                <w:lang w:val="es-MX"/>
              </w:rPr>
              <w:t>000</w:t>
            </w:r>
            <w:r w:rsidRPr="000F2A69">
              <w:rPr>
                <w:rFonts w:ascii="Arial" w:hAnsi="Arial" w:cs="Arial"/>
                <w:sz w:val="16"/>
                <w:szCs w:val="16"/>
                <w:lang w:val="es-MX"/>
              </w:rPr>
              <w:t xml:space="preserve"> clientes </w:t>
            </w:r>
            <w:r w:rsidRPr="00467916">
              <w:rPr>
                <w:rFonts w:ascii="Arial" w:hAnsi="Arial" w:cs="Arial"/>
                <w:sz w:val="16"/>
                <w:szCs w:val="16"/>
                <w:lang w:val="es-MX"/>
              </w:rPr>
              <w:t xml:space="preserve">en la construcción </w:t>
            </w:r>
            <w:r>
              <w:rPr>
                <w:rFonts w:ascii="Arial" w:hAnsi="Arial" w:cs="Arial"/>
                <w:sz w:val="16"/>
                <w:szCs w:val="16"/>
                <w:lang w:val="es-MX"/>
              </w:rPr>
              <w:t xml:space="preserve">y desarrollo </w:t>
            </w:r>
            <w:r w:rsidRPr="00467916">
              <w:rPr>
                <w:rFonts w:ascii="Arial" w:hAnsi="Arial" w:cs="Arial"/>
                <w:sz w:val="16"/>
                <w:szCs w:val="16"/>
                <w:lang w:val="es-MX"/>
              </w:rPr>
              <w:t>de negocios e</w:t>
            </w:r>
            <w:r>
              <w:rPr>
                <w:rFonts w:ascii="Arial" w:hAnsi="Arial" w:cs="Arial"/>
                <w:sz w:val="16"/>
                <w:szCs w:val="16"/>
                <w:lang w:val="es-MX"/>
              </w:rPr>
              <w:t>xitosos y dinámicos</w:t>
            </w:r>
            <w:r w:rsidRPr="000F2A69">
              <w:rPr>
                <w:rFonts w:ascii="Arial" w:hAnsi="Arial" w:cs="Arial"/>
                <w:sz w:val="16"/>
                <w:szCs w:val="16"/>
                <w:lang w:val="es-MX"/>
              </w:rPr>
              <w:t>. Los servicios y soluciones del Grupo</w:t>
            </w:r>
            <w:r>
              <w:rPr>
                <w:rFonts w:ascii="Arial" w:hAnsi="Arial" w:cs="Arial"/>
                <w:sz w:val="16"/>
                <w:szCs w:val="16"/>
                <w:lang w:val="es-MX"/>
              </w:rPr>
              <w:t>,</w:t>
            </w:r>
            <w:r w:rsidRPr="000F2A69">
              <w:rPr>
                <w:rFonts w:ascii="Arial" w:hAnsi="Arial" w:cs="Arial"/>
                <w:sz w:val="16"/>
                <w:szCs w:val="16"/>
                <w:lang w:val="es-MX"/>
              </w:rPr>
              <w:t xml:space="preserve"> protegen y ayudan a las empresas en la toma de decisiones de crédito que le permitan mejorar su desarrollo comercial, tanto en el mercado doméstico como en exportación. En 201</w:t>
            </w:r>
            <w:r>
              <w:rPr>
                <w:rFonts w:ascii="Arial" w:hAnsi="Arial" w:cs="Arial"/>
                <w:sz w:val="16"/>
                <w:szCs w:val="16"/>
                <w:lang w:val="es-MX"/>
              </w:rPr>
              <w:t>9</w:t>
            </w:r>
            <w:r w:rsidRPr="000F2A69">
              <w:rPr>
                <w:rFonts w:ascii="Arial" w:hAnsi="Arial" w:cs="Arial"/>
                <w:sz w:val="16"/>
                <w:szCs w:val="16"/>
                <w:lang w:val="es-MX"/>
              </w:rPr>
              <w:t xml:space="preserve">, Coface empleó a </w:t>
            </w:r>
            <w:r>
              <w:rPr>
                <w:rFonts w:ascii="Arial" w:hAnsi="Arial" w:cs="Arial"/>
                <w:sz w:val="16"/>
                <w:szCs w:val="16"/>
                <w:lang w:val="es-MX"/>
              </w:rPr>
              <w:t>4.250</w:t>
            </w:r>
            <w:r w:rsidRPr="000F2A69">
              <w:rPr>
                <w:rFonts w:ascii="Arial" w:hAnsi="Arial" w:cs="Arial"/>
                <w:sz w:val="16"/>
                <w:szCs w:val="16"/>
                <w:lang w:val="es-MX"/>
              </w:rPr>
              <w:t xml:space="preserve"> personas en 100 países y obtuvo una cifra de negocios de €1</w:t>
            </w:r>
            <w:r>
              <w:rPr>
                <w:rFonts w:ascii="Arial" w:hAnsi="Arial" w:cs="Arial"/>
                <w:sz w:val="16"/>
                <w:szCs w:val="16"/>
                <w:lang w:val="es-MX"/>
              </w:rPr>
              <w:t>.5</w:t>
            </w:r>
            <w:r w:rsidRPr="000F2A69">
              <w:rPr>
                <w:rFonts w:ascii="Arial" w:hAnsi="Arial" w:cs="Arial"/>
                <w:sz w:val="16"/>
                <w:szCs w:val="16"/>
                <w:lang w:val="es-MX"/>
              </w:rPr>
              <w:t>00 millones.</w:t>
            </w:r>
          </w:p>
          <w:p w:rsidR="00712CE9" w:rsidRDefault="00712CE9" w:rsidP="00A72427">
            <w:pPr>
              <w:spacing w:before="60" w:after="60" w:line="240" w:lineRule="atLeast"/>
              <w:ind w:left="142" w:right="113"/>
              <w:jc w:val="both"/>
              <w:rPr>
                <w:rFonts w:ascii="Arial" w:hAnsi="Arial" w:cs="Arial"/>
                <w:sz w:val="16"/>
                <w:szCs w:val="16"/>
                <w:lang w:val="es-MX"/>
              </w:rPr>
            </w:pPr>
            <w:r>
              <w:rPr>
                <w:rFonts w:ascii="Arial" w:hAnsi="Arial" w:cs="Arial"/>
                <w:sz w:val="16"/>
                <w:szCs w:val="16"/>
                <w:lang w:val="es-MX"/>
              </w:rPr>
              <w:t>Desde hace 20</w:t>
            </w:r>
            <w:r w:rsidRPr="006F4834">
              <w:rPr>
                <w:rFonts w:ascii="Arial" w:hAnsi="Arial" w:cs="Arial"/>
                <w:sz w:val="16"/>
                <w:szCs w:val="16"/>
                <w:lang w:val="es-MX"/>
              </w:rPr>
              <w:t xml:space="preserve"> años Coface está presente en la Argentina, brindando a las empresas locales las mismas protecciones y servicios con las que cuentan sus competidores en el mundo entero. Es N°1 en seguro de crédito en Argentina y en Latinoamérica.</w:t>
            </w:r>
          </w:p>
          <w:p w:rsidR="00712CE9" w:rsidRPr="00677FAC" w:rsidRDefault="00712CE9" w:rsidP="00A72427">
            <w:pPr>
              <w:spacing w:before="60" w:after="60" w:line="240" w:lineRule="atLeast"/>
              <w:ind w:right="113"/>
              <w:jc w:val="center"/>
              <w:rPr>
                <w:rFonts w:ascii="Arial" w:hAnsi="Arial" w:cs="Arial"/>
                <w:color w:val="0000FF"/>
                <w:sz w:val="18"/>
                <w:szCs w:val="18"/>
                <w:u w:val="single"/>
                <w:lang w:val="es-AR"/>
              </w:rPr>
            </w:pPr>
            <w:hyperlink r:id="rId9" w:history="1">
              <w:r w:rsidRPr="00677FAC">
                <w:rPr>
                  <w:rStyle w:val="Hipervnculo"/>
                  <w:rFonts w:ascii="Arial" w:hAnsi="Arial" w:cs="Arial"/>
                  <w:lang w:val="es-AR"/>
                </w:rPr>
                <w:t>www.coface.com</w:t>
              </w:r>
            </w:hyperlink>
          </w:p>
          <w:p w:rsidR="00712CE9" w:rsidRPr="00677FAC" w:rsidRDefault="00712CE9" w:rsidP="00A72427">
            <w:pPr>
              <w:spacing w:before="60" w:after="60" w:line="240" w:lineRule="atLeast"/>
              <w:ind w:right="113"/>
              <w:jc w:val="center"/>
              <w:rPr>
                <w:rFonts w:ascii="Arial" w:hAnsi="Arial" w:cs="Arial"/>
                <w:color w:val="0000FF"/>
                <w:sz w:val="16"/>
                <w:szCs w:val="18"/>
                <w:u w:val="single"/>
                <w:lang w:val="es-AR"/>
              </w:rPr>
            </w:pPr>
            <w:r>
              <w:rPr>
                <w:noProof/>
                <w:lang w:val="es-ES" w:eastAsia="es-ES"/>
              </w:rPr>
              <w:drawing>
                <wp:anchor distT="0" distB="0" distL="114300" distR="114300" simplePos="0" relativeHeight="251659264" behindDoc="0" locked="0" layoutInCell="1" allowOverlap="1" wp14:anchorId="1998D13C" wp14:editId="169FA279">
                  <wp:simplePos x="0" y="0"/>
                  <wp:positionH relativeFrom="column">
                    <wp:posOffset>4653280</wp:posOffset>
                  </wp:positionH>
                  <wp:positionV relativeFrom="paragraph">
                    <wp:posOffset>-6985</wp:posOffset>
                  </wp:positionV>
                  <wp:extent cx="571500" cy="565785"/>
                  <wp:effectExtent l="0" t="0" r="0" b="5715"/>
                  <wp:wrapNone/>
                  <wp:docPr id="23" name="Imagen 23"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FA-listed-emblems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CE9" w:rsidRPr="000347C5" w:rsidRDefault="00712CE9" w:rsidP="00A72427">
            <w:pPr>
              <w:tabs>
                <w:tab w:val="left" w:pos="8202"/>
              </w:tabs>
              <w:adjustRightInd w:val="0"/>
              <w:spacing w:line="240" w:lineRule="atLeast"/>
              <w:ind w:left="348" w:right="1587"/>
              <w:jc w:val="right"/>
              <w:rPr>
                <w:rFonts w:ascii="Arial" w:hAnsi="Arial" w:cs="Arial"/>
                <w:sz w:val="16"/>
                <w:szCs w:val="18"/>
                <w:lang w:val="es-MX"/>
              </w:rPr>
            </w:pPr>
            <w:r w:rsidRPr="00677FAC">
              <w:rPr>
                <w:rFonts w:ascii="Arial" w:hAnsi="Arial" w:cs="Arial"/>
                <w:sz w:val="16"/>
                <w:szCs w:val="18"/>
                <w:lang w:val="es-AR"/>
              </w:rPr>
              <w:t xml:space="preserve">COFACE SA. </w:t>
            </w:r>
            <w:r w:rsidRPr="000347C5">
              <w:rPr>
                <w:rFonts w:ascii="Arial" w:hAnsi="Arial" w:cs="Arial"/>
                <w:sz w:val="16"/>
                <w:szCs w:val="18"/>
                <w:lang w:val="es-MX"/>
              </w:rPr>
              <w:t xml:space="preserve">Cotiza en la bolsa de París – </w:t>
            </w:r>
            <w:proofErr w:type="spellStart"/>
            <w:r w:rsidRPr="000347C5">
              <w:rPr>
                <w:rFonts w:ascii="Arial" w:hAnsi="Arial" w:cs="Arial"/>
                <w:sz w:val="16"/>
                <w:szCs w:val="18"/>
                <w:lang w:val="es-MX"/>
              </w:rPr>
              <w:t>Compartment</w:t>
            </w:r>
            <w:proofErr w:type="spellEnd"/>
            <w:r w:rsidRPr="000347C5">
              <w:rPr>
                <w:rFonts w:ascii="Arial" w:hAnsi="Arial" w:cs="Arial"/>
                <w:sz w:val="16"/>
                <w:szCs w:val="18"/>
                <w:lang w:val="es-MX"/>
              </w:rPr>
              <w:t xml:space="preserve"> A</w:t>
            </w:r>
          </w:p>
          <w:p w:rsidR="00712CE9" w:rsidRDefault="00712CE9" w:rsidP="00A72427">
            <w:pPr>
              <w:tabs>
                <w:tab w:val="left" w:pos="8202"/>
              </w:tabs>
              <w:adjustRightInd w:val="0"/>
              <w:spacing w:line="240" w:lineRule="atLeast"/>
              <w:ind w:left="348" w:right="1587"/>
              <w:jc w:val="right"/>
              <w:rPr>
                <w:rFonts w:ascii="Arial" w:hAnsi="Arial" w:cs="Arial"/>
                <w:sz w:val="16"/>
                <w:szCs w:val="18"/>
                <w:lang w:val="es-MX"/>
              </w:rPr>
            </w:pPr>
            <w:r w:rsidRPr="000347C5">
              <w:rPr>
                <w:rFonts w:ascii="Arial" w:hAnsi="Arial" w:cs="Arial"/>
                <w:sz w:val="16"/>
                <w:szCs w:val="18"/>
                <w:lang w:val="es-MX"/>
              </w:rPr>
              <w:t xml:space="preserve">ISIN: FR0010667147 / </w:t>
            </w:r>
            <w:proofErr w:type="spellStart"/>
            <w:r w:rsidRPr="000347C5">
              <w:rPr>
                <w:rFonts w:ascii="Arial" w:hAnsi="Arial" w:cs="Arial"/>
                <w:sz w:val="16"/>
                <w:szCs w:val="18"/>
                <w:lang w:val="es-MX"/>
              </w:rPr>
              <w:t>Ticker</w:t>
            </w:r>
            <w:proofErr w:type="spellEnd"/>
            <w:r w:rsidRPr="000347C5">
              <w:rPr>
                <w:rFonts w:ascii="Arial" w:hAnsi="Arial" w:cs="Arial"/>
                <w:sz w:val="16"/>
                <w:szCs w:val="18"/>
                <w:lang w:val="es-MX"/>
              </w:rPr>
              <w:t>: COFA</w:t>
            </w:r>
          </w:p>
          <w:p w:rsidR="00712CE9" w:rsidRPr="000347C5" w:rsidRDefault="00712CE9" w:rsidP="00A72427">
            <w:pPr>
              <w:tabs>
                <w:tab w:val="left" w:pos="8202"/>
              </w:tabs>
              <w:adjustRightInd w:val="0"/>
              <w:spacing w:line="240" w:lineRule="atLeast"/>
              <w:ind w:left="348" w:right="1587"/>
              <w:jc w:val="right"/>
              <w:rPr>
                <w:rFonts w:ascii="Arial" w:hAnsi="Arial" w:cs="Arial"/>
                <w:sz w:val="16"/>
                <w:szCs w:val="18"/>
                <w:u w:val="single"/>
                <w:lang w:val="es-MX"/>
              </w:rPr>
            </w:pPr>
          </w:p>
        </w:tc>
      </w:tr>
    </w:tbl>
    <w:p w:rsidR="00712CE9" w:rsidRPr="00D11794" w:rsidRDefault="00712CE9" w:rsidP="00712CE9">
      <w:pPr>
        <w:suppressAutoHyphens/>
        <w:spacing w:line="270" w:lineRule="exact"/>
        <w:jc w:val="both"/>
        <w:rPr>
          <w:rFonts w:ascii="Arial" w:eastAsia="PMingLiU" w:hAnsi="Arial"/>
          <w:sz w:val="20"/>
          <w:szCs w:val="20"/>
        </w:rPr>
      </w:pPr>
    </w:p>
    <w:p w:rsidR="002D16EC" w:rsidRPr="003E130A" w:rsidRDefault="002D16EC" w:rsidP="00E057F0">
      <w:pPr>
        <w:pStyle w:val="Textonotapie"/>
        <w:rPr>
          <w:rFonts w:ascii="Arial" w:hAnsi="Arial" w:cs="Arial"/>
          <w:b/>
          <w:bCs/>
          <w:lang w:val="es-ES" w:eastAsia="ar-SA"/>
        </w:rPr>
      </w:pPr>
    </w:p>
    <w:sectPr w:rsidR="002D16EC" w:rsidRPr="003E130A" w:rsidSect="00FB5497">
      <w:headerReference w:type="default" r:id="rId11"/>
      <w:footerReference w:type="default" r:id="rId12"/>
      <w:footnotePr>
        <w:pos w:val="beneathText"/>
        <w:numRestart w:val="eachPage"/>
      </w:footnotePr>
      <w:type w:val="continuous"/>
      <w:pgSz w:w="11900" w:h="16837" w:code="9"/>
      <w:pgMar w:top="3119" w:right="1268" w:bottom="1418" w:left="2155" w:header="2835"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08" w:rsidRDefault="00B41508">
      <w:r>
        <w:separator/>
      </w:r>
    </w:p>
  </w:endnote>
  <w:endnote w:type="continuationSeparator" w:id="0">
    <w:p w:rsidR="00B41508" w:rsidRDefault="00B41508">
      <w:r>
        <w:continuationSeparator/>
      </w:r>
    </w:p>
  </w:endnote>
  <w:endnote w:type="continuationNotice" w:id="1">
    <w:p w:rsidR="00B41508" w:rsidRDefault="00B41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rintania Inlin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LegacySansLTBookRegular">
    <w:altName w:val="Times New Roman"/>
    <w:charset w:val="00"/>
    <w:family w:val="auto"/>
    <w:pitch w:val="default"/>
  </w:font>
  <w:font w:name="Lucida Grande">
    <w:altName w:val="Arial"/>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42789"/>
      <w:docPartObj>
        <w:docPartGallery w:val="Page Numbers (Bottom of Page)"/>
        <w:docPartUnique/>
      </w:docPartObj>
    </w:sdtPr>
    <w:sdtEndPr>
      <w:rPr>
        <w:rFonts w:ascii="Arial Narrow" w:hAnsi="Arial Narrow"/>
        <w:sz w:val="20"/>
        <w:szCs w:val="20"/>
      </w:rPr>
    </w:sdtEndPr>
    <w:sdtContent>
      <w:sdt>
        <w:sdtPr>
          <w:id w:val="-1053309146"/>
          <w:docPartObj>
            <w:docPartGallery w:val="Page Numbers (Top of Page)"/>
            <w:docPartUnique/>
          </w:docPartObj>
        </w:sdtPr>
        <w:sdtEndPr>
          <w:rPr>
            <w:rFonts w:ascii="Arial Narrow" w:hAnsi="Arial Narrow"/>
            <w:sz w:val="20"/>
            <w:szCs w:val="20"/>
          </w:rPr>
        </w:sdtEndPr>
        <w:sdtContent>
          <w:p w:rsidR="00B41508" w:rsidRPr="00CE092E" w:rsidRDefault="00B41508" w:rsidP="008E03F1">
            <w:pPr>
              <w:pStyle w:val="Piedepgina"/>
              <w:tabs>
                <w:tab w:val="left" w:pos="7513"/>
              </w:tabs>
              <w:rPr>
                <w:rFonts w:ascii="Arial Narrow" w:hAnsi="Arial Narrow"/>
                <w:sz w:val="16"/>
                <w:szCs w:val="16"/>
                <w:lang w:val="fr-FR"/>
              </w:rPr>
            </w:pPr>
            <w:r>
              <w:rPr>
                <w:rFonts w:ascii="Arial Narrow" w:hAnsi="Arial Narrow"/>
                <w:sz w:val="20"/>
                <w:szCs w:val="20"/>
                <w:lang w:val="fr-FR"/>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08" w:rsidRDefault="00B41508">
      <w:r>
        <w:separator/>
      </w:r>
    </w:p>
  </w:footnote>
  <w:footnote w:type="continuationSeparator" w:id="0">
    <w:p w:rsidR="00B41508" w:rsidRDefault="00B41508">
      <w:r>
        <w:continuationSeparator/>
      </w:r>
    </w:p>
  </w:footnote>
  <w:footnote w:type="continuationNotice" w:id="1">
    <w:p w:rsidR="00B41508" w:rsidRDefault="00B41508"/>
  </w:footnote>
  <w:footnote w:id="2">
    <w:p w:rsidR="00B41508" w:rsidRPr="00B71853" w:rsidRDefault="00B41508">
      <w:pPr>
        <w:pStyle w:val="Textonotapie"/>
        <w:rPr>
          <w:rFonts w:ascii="Arial Narrow" w:hAnsi="Arial Narrow"/>
          <w:sz w:val="16"/>
          <w:szCs w:val="16"/>
          <w:lang w:val="es-ES"/>
        </w:rPr>
      </w:pPr>
      <w:r w:rsidRPr="009E7DA9">
        <w:rPr>
          <w:rStyle w:val="Refdenotaalpie"/>
          <w:rFonts w:ascii="Arial Narrow" w:hAnsi="Arial Narrow"/>
          <w:sz w:val="16"/>
          <w:szCs w:val="16"/>
        </w:rPr>
        <w:footnoteRef/>
      </w:r>
      <w:r w:rsidRPr="00B71853">
        <w:rPr>
          <w:rFonts w:ascii="Arial Narrow" w:hAnsi="Arial Narrow"/>
          <w:sz w:val="16"/>
          <w:szCs w:val="16"/>
          <w:lang w:val="es-ES"/>
        </w:rPr>
        <w:t xml:space="preserve"> También excluye el impacto del </w:t>
      </w:r>
      <w:r w:rsidR="007D5BFB">
        <w:rPr>
          <w:rFonts w:ascii="Arial Narrow" w:hAnsi="Arial Narrow"/>
          <w:sz w:val="16"/>
          <w:szCs w:val="16"/>
          <w:lang w:val="es-ES"/>
        </w:rPr>
        <w:t>perímetro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08" w:rsidRPr="002D29A1" w:rsidRDefault="00B41508">
    <w:pPr>
      <w:pStyle w:val="Encabezado"/>
      <w:rPr>
        <w:b/>
        <w:lang w:val="fr-FR"/>
      </w:rPr>
    </w:pPr>
    <w:r w:rsidRPr="002D29A1">
      <w:rPr>
        <w:b/>
        <w:noProof/>
        <w:lang w:val="es-ES" w:eastAsia="es-ES"/>
      </w:rPr>
      <w:drawing>
        <wp:anchor distT="0" distB="0" distL="114935" distR="114935" simplePos="0" relativeHeight="251654656" behindDoc="1" locked="0" layoutInCell="1" allowOverlap="1" wp14:anchorId="095AF2BA" wp14:editId="011E7CC0">
          <wp:simplePos x="0" y="0"/>
          <wp:positionH relativeFrom="column">
            <wp:posOffset>-458470</wp:posOffset>
          </wp:positionH>
          <wp:positionV relativeFrom="page">
            <wp:posOffset>593354</wp:posOffset>
          </wp:positionV>
          <wp:extent cx="5761355" cy="13150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315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D29A1">
      <w:rPr>
        <w:noProof/>
        <w:lang w:val="es-ES" w:eastAsia="es-ES"/>
      </w:rPr>
      <mc:AlternateContent>
        <mc:Choice Requires="wps">
          <w:drawing>
            <wp:anchor distT="0" distB="0" distL="114935" distR="114935" simplePos="0" relativeHeight="251664896" behindDoc="1" locked="0" layoutInCell="1" allowOverlap="1" wp14:anchorId="2A2CA04F" wp14:editId="0D0EBC50">
              <wp:simplePos x="0" y="0"/>
              <wp:positionH relativeFrom="column">
                <wp:posOffset>40944</wp:posOffset>
              </wp:positionH>
              <wp:positionV relativeFrom="page">
                <wp:posOffset>1540510</wp:posOffset>
              </wp:positionV>
              <wp:extent cx="5755005" cy="33020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508" w:rsidRDefault="00B41508" w:rsidP="003E11FF">
                          <w:pPr>
                            <w:spacing w:line="270" w:lineRule="exact"/>
                            <w:jc w:val="center"/>
                            <w:rPr>
                              <w:rFonts w:ascii="Arial" w:hAnsi="Arial" w:cs="Arial"/>
                              <w:b/>
                              <w:bCs/>
                              <w:color w:val="4FA76E"/>
                              <w:spacing w:val="518"/>
                              <w:sz w:val="26"/>
                              <w:szCs w:val="26"/>
                            </w:rPr>
                          </w:pPr>
                          <w:r>
                            <w:rPr>
                              <w:rFonts w:ascii="Arial" w:hAnsi="Arial"/>
                              <w:b/>
                              <w:color w:val="4FA76E"/>
                              <w:spacing w:val="518"/>
                              <w:sz w:val="26"/>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CA04F" id="_x0000_t202" coordsize="21600,21600" o:spt="202" path="m,l,21600r21600,l21600,xe">
              <v:stroke joinstyle="miter"/>
              <v:path gradientshapeok="t" o:connecttype="rect"/>
            </v:shapetype>
            <v:shape id="Zone de texte 9" o:spid="_x0000_s1026" type="#_x0000_t202" style="position:absolute;margin-left:3.2pt;margin-top:121.3pt;width:453.15pt;height:26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" stroked="f">
              <v:fill opacity="0"/>
              <v:textbox inset="0,0,0,0">
                <w:txbxContent>
                  <w:p w:rsidR="00B41508" w:rsidRDefault="00B41508" w:rsidP="003E11FF">
                    <w:pPr>
                      <w:spacing w:line="270" w:lineRule="exact"/>
                      <w:jc w:val="center"/>
                      <w:rPr>
                        <w:rFonts w:ascii="Arial" w:hAnsi="Arial" w:cs="Arial"/>
                        <w:b/>
                        <w:bCs/>
                        <w:color w:val="4FA76E"/>
                        <w:spacing w:val="518"/>
                        <w:sz w:val="26"/>
                        <w:szCs w:val="26"/>
                      </w:rPr>
                    </w:pPr>
                    <w:r>
                      <w:rPr>
                        <w:rFonts w:ascii="Arial" w:hAnsi="Arial"/>
                        <w:b/>
                        <w:color w:val="4FA76E"/>
                        <w:spacing w:val="518"/>
                        <w:sz w:val="26"/>
                      </w:rPr>
                      <w:t>PRESS RELEASE</w:t>
                    </w:r>
                  </w:p>
                </w:txbxContent>
              </v:textbox>
              <w10:wrap anchory="page"/>
            </v:shape>
          </w:pict>
        </mc:Fallback>
      </mc:AlternateContent>
    </w:r>
    <w:r w:rsidRPr="002D29A1">
      <w:rPr>
        <w:b/>
        <w:noProof/>
        <w:lang w:val="es-ES" w:eastAsia="es-ES"/>
      </w:rPr>
      <mc:AlternateContent>
        <mc:Choice Requires="wps">
          <w:drawing>
            <wp:anchor distT="0" distB="0" distL="114300" distR="114300" simplePos="0" relativeHeight="251659776" behindDoc="1" locked="0" layoutInCell="1" allowOverlap="1" wp14:anchorId="09A4878D" wp14:editId="07F0EFBD">
              <wp:simplePos x="0" y="0"/>
              <wp:positionH relativeFrom="page">
                <wp:posOffset>107950</wp:posOffset>
              </wp:positionH>
              <wp:positionV relativeFrom="page">
                <wp:posOffset>3564255</wp:posOffset>
              </wp:positionV>
              <wp:extent cx="107950" cy="0"/>
              <wp:effectExtent l="12700" t="11430" r="12700" b="7620"/>
              <wp:wrapNone/>
              <wp:docPr id="1"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960">
                        <a:solidFill>
                          <a:srgbClr val="17274B"/>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41006F" id="Connecteur droit 2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" strokecolor="#17274b" strokeweight=".11mm">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3C2EDA"/>
    <w:multiLevelType w:val="hybridMultilevel"/>
    <w:tmpl w:val="4D401FE0"/>
    <w:lvl w:ilvl="0" w:tplc="AC0841CE">
      <w:start w:val="1"/>
      <w:numFmt w:val="bullet"/>
      <w:lvlText w:val=""/>
      <w:lvlJc w:val="left"/>
      <w:pPr>
        <w:ind w:left="720" w:hanging="360"/>
      </w:pPr>
      <w:rPr>
        <w:rFonts w:ascii="Symbol" w:hAnsi="Symbol" w:hint="default"/>
      </w:rPr>
    </w:lvl>
    <w:lvl w:ilvl="1" w:tplc="ED02EB58">
      <w:start w:val="1"/>
      <w:numFmt w:val="bullet"/>
      <w:lvlText w:val="o"/>
      <w:lvlJc w:val="left"/>
      <w:pPr>
        <w:ind w:left="1440" w:hanging="360"/>
      </w:pPr>
      <w:rPr>
        <w:rFonts w:ascii="Courier New" w:hAnsi="Courier New" w:cs="Courier New" w:hint="default"/>
      </w:rPr>
    </w:lvl>
    <w:lvl w:ilvl="2" w:tplc="50F42FCA">
      <w:start w:val="1"/>
      <w:numFmt w:val="bullet"/>
      <w:lvlText w:val=""/>
      <w:lvlJc w:val="left"/>
      <w:pPr>
        <w:ind w:left="2160" w:hanging="360"/>
      </w:pPr>
      <w:rPr>
        <w:rFonts w:ascii="Wingdings" w:hAnsi="Wingdings" w:hint="default"/>
      </w:rPr>
    </w:lvl>
    <w:lvl w:ilvl="3" w:tplc="C1683B2C">
      <w:start w:val="1"/>
      <w:numFmt w:val="bullet"/>
      <w:lvlText w:val=""/>
      <w:lvlJc w:val="left"/>
      <w:pPr>
        <w:ind w:left="2880" w:hanging="360"/>
      </w:pPr>
      <w:rPr>
        <w:rFonts w:ascii="Symbol" w:hAnsi="Symbol" w:hint="default"/>
      </w:rPr>
    </w:lvl>
    <w:lvl w:ilvl="4" w:tplc="7E3A1F62">
      <w:start w:val="1"/>
      <w:numFmt w:val="bullet"/>
      <w:lvlText w:val="o"/>
      <w:lvlJc w:val="left"/>
      <w:pPr>
        <w:ind w:left="3600" w:hanging="360"/>
      </w:pPr>
      <w:rPr>
        <w:rFonts w:ascii="Courier New" w:hAnsi="Courier New" w:cs="Courier New" w:hint="default"/>
      </w:rPr>
    </w:lvl>
    <w:lvl w:ilvl="5" w:tplc="54666738">
      <w:start w:val="1"/>
      <w:numFmt w:val="bullet"/>
      <w:lvlText w:val=""/>
      <w:lvlJc w:val="left"/>
      <w:pPr>
        <w:ind w:left="4320" w:hanging="360"/>
      </w:pPr>
      <w:rPr>
        <w:rFonts w:ascii="Wingdings" w:hAnsi="Wingdings" w:hint="default"/>
      </w:rPr>
    </w:lvl>
    <w:lvl w:ilvl="6" w:tplc="2B6C4E04">
      <w:start w:val="1"/>
      <w:numFmt w:val="bullet"/>
      <w:lvlText w:val=""/>
      <w:lvlJc w:val="left"/>
      <w:pPr>
        <w:ind w:left="5040" w:hanging="360"/>
      </w:pPr>
      <w:rPr>
        <w:rFonts w:ascii="Symbol" w:hAnsi="Symbol" w:hint="default"/>
      </w:rPr>
    </w:lvl>
    <w:lvl w:ilvl="7" w:tplc="86C2483A">
      <w:start w:val="1"/>
      <w:numFmt w:val="bullet"/>
      <w:lvlText w:val="o"/>
      <w:lvlJc w:val="left"/>
      <w:pPr>
        <w:ind w:left="5760" w:hanging="360"/>
      </w:pPr>
      <w:rPr>
        <w:rFonts w:ascii="Courier New" w:hAnsi="Courier New" w:cs="Courier New" w:hint="default"/>
      </w:rPr>
    </w:lvl>
    <w:lvl w:ilvl="8" w:tplc="610EBD92">
      <w:start w:val="1"/>
      <w:numFmt w:val="bullet"/>
      <w:lvlText w:val=""/>
      <w:lvlJc w:val="left"/>
      <w:pPr>
        <w:ind w:left="6480" w:hanging="360"/>
      </w:pPr>
      <w:rPr>
        <w:rFonts w:ascii="Wingdings" w:hAnsi="Wingdings" w:hint="default"/>
      </w:rPr>
    </w:lvl>
  </w:abstractNum>
  <w:abstractNum w:abstractNumId="2" w15:restartNumberingAfterBreak="0">
    <w:nsid w:val="05F5446D"/>
    <w:multiLevelType w:val="hybridMultilevel"/>
    <w:tmpl w:val="BA9A465E"/>
    <w:lvl w:ilvl="0" w:tplc="1912303C">
      <w:start w:val="1"/>
      <w:numFmt w:val="bullet"/>
      <w:lvlText w:val="−"/>
      <w:lvlJc w:val="left"/>
      <w:pPr>
        <w:tabs>
          <w:tab w:val="num" w:pos="720"/>
        </w:tabs>
        <w:ind w:left="720" w:hanging="360"/>
      </w:pPr>
      <w:rPr>
        <w:rFonts w:ascii="Arial Narrow" w:hAnsi="Arial Narrow" w:hint="default"/>
      </w:rPr>
    </w:lvl>
    <w:lvl w:ilvl="1" w:tplc="EC5ADD0E" w:tentative="1">
      <w:start w:val="1"/>
      <w:numFmt w:val="bullet"/>
      <w:lvlText w:val="−"/>
      <w:lvlJc w:val="left"/>
      <w:pPr>
        <w:tabs>
          <w:tab w:val="num" w:pos="1440"/>
        </w:tabs>
        <w:ind w:left="1440" w:hanging="360"/>
      </w:pPr>
      <w:rPr>
        <w:rFonts w:ascii="Arial Narrow" w:hAnsi="Arial Narrow" w:hint="default"/>
      </w:rPr>
    </w:lvl>
    <w:lvl w:ilvl="2" w:tplc="DB76B750">
      <w:start w:val="1"/>
      <w:numFmt w:val="bullet"/>
      <w:lvlText w:val="−"/>
      <w:lvlJc w:val="left"/>
      <w:pPr>
        <w:tabs>
          <w:tab w:val="num" w:pos="2160"/>
        </w:tabs>
        <w:ind w:left="2160" w:hanging="360"/>
      </w:pPr>
      <w:rPr>
        <w:rFonts w:ascii="Arial Narrow" w:hAnsi="Arial Narrow" w:hint="default"/>
      </w:rPr>
    </w:lvl>
    <w:lvl w:ilvl="3" w:tplc="EBB8B99A" w:tentative="1">
      <w:start w:val="1"/>
      <w:numFmt w:val="bullet"/>
      <w:lvlText w:val="−"/>
      <w:lvlJc w:val="left"/>
      <w:pPr>
        <w:tabs>
          <w:tab w:val="num" w:pos="2880"/>
        </w:tabs>
        <w:ind w:left="2880" w:hanging="360"/>
      </w:pPr>
      <w:rPr>
        <w:rFonts w:ascii="Arial Narrow" w:hAnsi="Arial Narrow" w:hint="default"/>
      </w:rPr>
    </w:lvl>
    <w:lvl w:ilvl="4" w:tplc="EFBEF4E2" w:tentative="1">
      <w:start w:val="1"/>
      <w:numFmt w:val="bullet"/>
      <w:lvlText w:val="−"/>
      <w:lvlJc w:val="left"/>
      <w:pPr>
        <w:tabs>
          <w:tab w:val="num" w:pos="3600"/>
        </w:tabs>
        <w:ind w:left="3600" w:hanging="360"/>
      </w:pPr>
      <w:rPr>
        <w:rFonts w:ascii="Arial Narrow" w:hAnsi="Arial Narrow" w:hint="default"/>
      </w:rPr>
    </w:lvl>
    <w:lvl w:ilvl="5" w:tplc="2F064F86" w:tentative="1">
      <w:start w:val="1"/>
      <w:numFmt w:val="bullet"/>
      <w:lvlText w:val="−"/>
      <w:lvlJc w:val="left"/>
      <w:pPr>
        <w:tabs>
          <w:tab w:val="num" w:pos="4320"/>
        </w:tabs>
        <w:ind w:left="4320" w:hanging="360"/>
      </w:pPr>
      <w:rPr>
        <w:rFonts w:ascii="Arial Narrow" w:hAnsi="Arial Narrow" w:hint="default"/>
      </w:rPr>
    </w:lvl>
    <w:lvl w:ilvl="6" w:tplc="35661A9A" w:tentative="1">
      <w:start w:val="1"/>
      <w:numFmt w:val="bullet"/>
      <w:lvlText w:val="−"/>
      <w:lvlJc w:val="left"/>
      <w:pPr>
        <w:tabs>
          <w:tab w:val="num" w:pos="5040"/>
        </w:tabs>
        <w:ind w:left="5040" w:hanging="360"/>
      </w:pPr>
      <w:rPr>
        <w:rFonts w:ascii="Arial Narrow" w:hAnsi="Arial Narrow" w:hint="default"/>
      </w:rPr>
    </w:lvl>
    <w:lvl w:ilvl="7" w:tplc="FCAE26B6" w:tentative="1">
      <w:start w:val="1"/>
      <w:numFmt w:val="bullet"/>
      <w:lvlText w:val="−"/>
      <w:lvlJc w:val="left"/>
      <w:pPr>
        <w:tabs>
          <w:tab w:val="num" w:pos="5760"/>
        </w:tabs>
        <w:ind w:left="5760" w:hanging="360"/>
      </w:pPr>
      <w:rPr>
        <w:rFonts w:ascii="Arial Narrow" w:hAnsi="Arial Narrow" w:hint="default"/>
      </w:rPr>
    </w:lvl>
    <w:lvl w:ilvl="8" w:tplc="96BC4008" w:tentative="1">
      <w:start w:val="1"/>
      <w:numFmt w:val="bullet"/>
      <w:lvlText w:val="−"/>
      <w:lvlJc w:val="left"/>
      <w:pPr>
        <w:tabs>
          <w:tab w:val="num" w:pos="6480"/>
        </w:tabs>
        <w:ind w:left="6480" w:hanging="360"/>
      </w:pPr>
      <w:rPr>
        <w:rFonts w:ascii="Arial Narrow" w:hAnsi="Arial Narrow" w:hint="default"/>
      </w:rPr>
    </w:lvl>
  </w:abstractNum>
  <w:abstractNum w:abstractNumId="3" w15:restartNumberingAfterBreak="0">
    <w:nsid w:val="06EA7EEB"/>
    <w:multiLevelType w:val="hybridMultilevel"/>
    <w:tmpl w:val="96129432"/>
    <w:lvl w:ilvl="0" w:tplc="BA061378">
      <w:start w:val="5"/>
      <w:numFmt w:val="bullet"/>
      <w:lvlText w:val="-"/>
      <w:lvlJc w:val="left"/>
      <w:pPr>
        <w:ind w:left="1146" w:hanging="360"/>
      </w:pPr>
      <w:rPr>
        <w:rFonts w:ascii="Calibri" w:hAnsi="Calibri" w:cstheme="minorBidi" w:hint="default"/>
        <w:color w:val="auto"/>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8112D1A"/>
    <w:multiLevelType w:val="hybridMultilevel"/>
    <w:tmpl w:val="EFF887DC"/>
    <w:lvl w:ilvl="0" w:tplc="904C47E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A0FE3"/>
    <w:multiLevelType w:val="hybridMultilevel"/>
    <w:tmpl w:val="1472C3BC"/>
    <w:lvl w:ilvl="0" w:tplc="B4C45BE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414EEC"/>
    <w:multiLevelType w:val="hybridMultilevel"/>
    <w:tmpl w:val="E10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40C9D"/>
    <w:multiLevelType w:val="hybridMultilevel"/>
    <w:tmpl w:val="42401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F609AE"/>
    <w:multiLevelType w:val="hybridMultilevel"/>
    <w:tmpl w:val="F7087FEC"/>
    <w:lvl w:ilvl="0" w:tplc="E816370E">
      <w:start w:val="1"/>
      <w:numFmt w:val="bullet"/>
      <w:lvlText w:val="−"/>
      <w:lvlJc w:val="left"/>
      <w:pPr>
        <w:tabs>
          <w:tab w:val="num" w:pos="720"/>
        </w:tabs>
        <w:ind w:left="720" w:hanging="360"/>
      </w:pPr>
      <w:rPr>
        <w:rFonts w:ascii="Arial Narrow" w:hAnsi="Arial Narrow" w:hint="default"/>
      </w:rPr>
    </w:lvl>
    <w:lvl w:ilvl="1" w:tplc="5C62A7C2" w:tentative="1">
      <w:start w:val="1"/>
      <w:numFmt w:val="bullet"/>
      <w:lvlText w:val="−"/>
      <w:lvlJc w:val="left"/>
      <w:pPr>
        <w:tabs>
          <w:tab w:val="num" w:pos="1440"/>
        </w:tabs>
        <w:ind w:left="1440" w:hanging="360"/>
      </w:pPr>
      <w:rPr>
        <w:rFonts w:ascii="Arial Narrow" w:hAnsi="Arial Narrow" w:hint="default"/>
      </w:rPr>
    </w:lvl>
    <w:lvl w:ilvl="2" w:tplc="59E87D38">
      <w:start w:val="1"/>
      <w:numFmt w:val="bullet"/>
      <w:lvlText w:val="−"/>
      <w:lvlJc w:val="left"/>
      <w:pPr>
        <w:tabs>
          <w:tab w:val="num" w:pos="2160"/>
        </w:tabs>
        <w:ind w:left="2160" w:hanging="360"/>
      </w:pPr>
      <w:rPr>
        <w:rFonts w:ascii="Arial Narrow" w:hAnsi="Arial Narrow" w:hint="default"/>
      </w:rPr>
    </w:lvl>
    <w:lvl w:ilvl="3" w:tplc="3C9A5276" w:tentative="1">
      <w:start w:val="1"/>
      <w:numFmt w:val="bullet"/>
      <w:lvlText w:val="−"/>
      <w:lvlJc w:val="left"/>
      <w:pPr>
        <w:tabs>
          <w:tab w:val="num" w:pos="2880"/>
        </w:tabs>
        <w:ind w:left="2880" w:hanging="360"/>
      </w:pPr>
      <w:rPr>
        <w:rFonts w:ascii="Arial Narrow" w:hAnsi="Arial Narrow" w:hint="default"/>
      </w:rPr>
    </w:lvl>
    <w:lvl w:ilvl="4" w:tplc="F1DC36A2" w:tentative="1">
      <w:start w:val="1"/>
      <w:numFmt w:val="bullet"/>
      <w:lvlText w:val="−"/>
      <w:lvlJc w:val="left"/>
      <w:pPr>
        <w:tabs>
          <w:tab w:val="num" w:pos="3600"/>
        </w:tabs>
        <w:ind w:left="3600" w:hanging="360"/>
      </w:pPr>
      <w:rPr>
        <w:rFonts w:ascii="Arial Narrow" w:hAnsi="Arial Narrow" w:hint="default"/>
      </w:rPr>
    </w:lvl>
    <w:lvl w:ilvl="5" w:tplc="49C47930" w:tentative="1">
      <w:start w:val="1"/>
      <w:numFmt w:val="bullet"/>
      <w:lvlText w:val="−"/>
      <w:lvlJc w:val="left"/>
      <w:pPr>
        <w:tabs>
          <w:tab w:val="num" w:pos="4320"/>
        </w:tabs>
        <w:ind w:left="4320" w:hanging="360"/>
      </w:pPr>
      <w:rPr>
        <w:rFonts w:ascii="Arial Narrow" w:hAnsi="Arial Narrow" w:hint="default"/>
      </w:rPr>
    </w:lvl>
    <w:lvl w:ilvl="6" w:tplc="9B04746A" w:tentative="1">
      <w:start w:val="1"/>
      <w:numFmt w:val="bullet"/>
      <w:lvlText w:val="−"/>
      <w:lvlJc w:val="left"/>
      <w:pPr>
        <w:tabs>
          <w:tab w:val="num" w:pos="5040"/>
        </w:tabs>
        <w:ind w:left="5040" w:hanging="360"/>
      </w:pPr>
      <w:rPr>
        <w:rFonts w:ascii="Arial Narrow" w:hAnsi="Arial Narrow" w:hint="default"/>
      </w:rPr>
    </w:lvl>
    <w:lvl w:ilvl="7" w:tplc="9496B384" w:tentative="1">
      <w:start w:val="1"/>
      <w:numFmt w:val="bullet"/>
      <w:lvlText w:val="−"/>
      <w:lvlJc w:val="left"/>
      <w:pPr>
        <w:tabs>
          <w:tab w:val="num" w:pos="5760"/>
        </w:tabs>
        <w:ind w:left="5760" w:hanging="360"/>
      </w:pPr>
      <w:rPr>
        <w:rFonts w:ascii="Arial Narrow" w:hAnsi="Arial Narrow" w:hint="default"/>
      </w:rPr>
    </w:lvl>
    <w:lvl w:ilvl="8" w:tplc="3FAC1958" w:tentative="1">
      <w:start w:val="1"/>
      <w:numFmt w:val="bullet"/>
      <w:lvlText w:val="−"/>
      <w:lvlJc w:val="left"/>
      <w:pPr>
        <w:tabs>
          <w:tab w:val="num" w:pos="6480"/>
        </w:tabs>
        <w:ind w:left="6480" w:hanging="360"/>
      </w:pPr>
      <w:rPr>
        <w:rFonts w:ascii="Arial Narrow" w:hAnsi="Arial Narrow" w:hint="default"/>
      </w:rPr>
    </w:lvl>
  </w:abstractNum>
  <w:abstractNum w:abstractNumId="9" w15:restartNumberingAfterBreak="0">
    <w:nsid w:val="14FD6225"/>
    <w:multiLevelType w:val="hybridMultilevel"/>
    <w:tmpl w:val="E1F2B8A6"/>
    <w:lvl w:ilvl="0" w:tplc="354ADAC8">
      <w:start w:val="1"/>
      <w:numFmt w:val="lowerRoman"/>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B733A65"/>
    <w:multiLevelType w:val="hybridMultilevel"/>
    <w:tmpl w:val="03FE95E0"/>
    <w:lvl w:ilvl="0" w:tplc="CCE87B26">
      <w:start w:val="1"/>
      <w:numFmt w:val="bullet"/>
      <w:lvlText w:val=""/>
      <w:lvlJc w:val="left"/>
      <w:pPr>
        <w:ind w:left="720" w:hanging="360"/>
      </w:pPr>
      <w:rPr>
        <w:rFonts w:ascii="Symbol" w:hAnsi="Symbol" w:hint="default"/>
      </w:rPr>
    </w:lvl>
    <w:lvl w:ilvl="1" w:tplc="F8744272" w:tentative="1">
      <w:start w:val="1"/>
      <w:numFmt w:val="bullet"/>
      <w:lvlText w:val="o"/>
      <w:lvlJc w:val="left"/>
      <w:pPr>
        <w:ind w:left="1440" w:hanging="360"/>
      </w:pPr>
      <w:rPr>
        <w:rFonts w:ascii="Courier New" w:hAnsi="Courier New" w:cs="Courier New" w:hint="default"/>
      </w:rPr>
    </w:lvl>
    <w:lvl w:ilvl="2" w:tplc="95CACED4" w:tentative="1">
      <w:start w:val="1"/>
      <w:numFmt w:val="bullet"/>
      <w:lvlText w:val=""/>
      <w:lvlJc w:val="left"/>
      <w:pPr>
        <w:ind w:left="2160" w:hanging="360"/>
      </w:pPr>
      <w:rPr>
        <w:rFonts w:ascii="Wingdings" w:hAnsi="Wingdings" w:hint="default"/>
      </w:rPr>
    </w:lvl>
    <w:lvl w:ilvl="3" w:tplc="148214A2" w:tentative="1">
      <w:start w:val="1"/>
      <w:numFmt w:val="bullet"/>
      <w:lvlText w:val=""/>
      <w:lvlJc w:val="left"/>
      <w:pPr>
        <w:ind w:left="2880" w:hanging="360"/>
      </w:pPr>
      <w:rPr>
        <w:rFonts w:ascii="Symbol" w:hAnsi="Symbol" w:hint="default"/>
      </w:rPr>
    </w:lvl>
    <w:lvl w:ilvl="4" w:tplc="D20E0F52" w:tentative="1">
      <w:start w:val="1"/>
      <w:numFmt w:val="bullet"/>
      <w:lvlText w:val="o"/>
      <w:lvlJc w:val="left"/>
      <w:pPr>
        <w:ind w:left="3600" w:hanging="360"/>
      </w:pPr>
      <w:rPr>
        <w:rFonts w:ascii="Courier New" w:hAnsi="Courier New" w:cs="Courier New" w:hint="default"/>
      </w:rPr>
    </w:lvl>
    <w:lvl w:ilvl="5" w:tplc="06320ACC" w:tentative="1">
      <w:start w:val="1"/>
      <w:numFmt w:val="bullet"/>
      <w:lvlText w:val=""/>
      <w:lvlJc w:val="left"/>
      <w:pPr>
        <w:ind w:left="4320" w:hanging="360"/>
      </w:pPr>
      <w:rPr>
        <w:rFonts w:ascii="Wingdings" w:hAnsi="Wingdings" w:hint="default"/>
      </w:rPr>
    </w:lvl>
    <w:lvl w:ilvl="6" w:tplc="B832EDAC" w:tentative="1">
      <w:start w:val="1"/>
      <w:numFmt w:val="bullet"/>
      <w:lvlText w:val=""/>
      <w:lvlJc w:val="left"/>
      <w:pPr>
        <w:ind w:left="5040" w:hanging="360"/>
      </w:pPr>
      <w:rPr>
        <w:rFonts w:ascii="Symbol" w:hAnsi="Symbol" w:hint="default"/>
      </w:rPr>
    </w:lvl>
    <w:lvl w:ilvl="7" w:tplc="92566F18" w:tentative="1">
      <w:start w:val="1"/>
      <w:numFmt w:val="bullet"/>
      <w:lvlText w:val="o"/>
      <w:lvlJc w:val="left"/>
      <w:pPr>
        <w:ind w:left="5760" w:hanging="360"/>
      </w:pPr>
      <w:rPr>
        <w:rFonts w:ascii="Courier New" w:hAnsi="Courier New" w:cs="Courier New" w:hint="default"/>
      </w:rPr>
    </w:lvl>
    <w:lvl w:ilvl="8" w:tplc="4F20F566" w:tentative="1">
      <w:start w:val="1"/>
      <w:numFmt w:val="bullet"/>
      <w:lvlText w:val=""/>
      <w:lvlJc w:val="left"/>
      <w:pPr>
        <w:ind w:left="6480" w:hanging="360"/>
      </w:pPr>
      <w:rPr>
        <w:rFonts w:ascii="Wingdings" w:hAnsi="Wingdings" w:hint="default"/>
      </w:rPr>
    </w:lvl>
  </w:abstractNum>
  <w:abstractNum w:abstractNumId="11" w15:restartNumberingAfterBreak="0">
    <w:nsid w:val="1C69142C"/>
    <w:multiLevelType w:val="hybridMultilevel"/>
    <w:tmpl w:val="131A4A24"/>
    <w:lvl w:ilvl="0" w:tplc="BA968E42">
      <w:start w:val="14"/>
      <w:numFmt w:val="bullet"/>
      <w:lvlText w:val="-"/>
      <w:lvlJc w:val="left"/>
      <w:pPr>
        <w:ind w:left="720" w:hanging="360"/>
      </w:pPr>
      <w:rPr>
        <w:rFonts w:ascii="Arial Narrow" w:eastAsia="MS Mincho"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BE60B2"/>
    <w:multiLevelType w:val="hybridMultilevel"/>
    <w:tmpl w:val="95349AD6"/>
    <w:lvl w:ilvl="0" w:tplc="4AA87D7C">
      <w:numFmt w:val="bullet"/>
      <w:lvlText w:val="-"/>
      <w:lvlJc w:val="left"/>
      <w:pPr>
        <w:ind w:left="1065" w:hanging="705"/>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B555B1"/>
    <w:multiLevelType w:val="hybridMultilevel"/>
    <w:tmpl w:val="4DE6EA72"/>
    <w:lvl w:ilvl="0" w:tplc="15EC6A38">
      <w:start w:val="1"/>
      <w:numFmt w:val="bullet"/>
      <w:lvlText w:val=""/>
      <w:lvlJc w:val="left"/>
      <w:pPr>
        <w:ind w:left="720" w:hanging="360"/>
      </w:pPr>
      <w:rPr>
        <w:rFonts w:ascii="Symbol" w:hAnsi="Symbol" w:hint="default"/>
      </w:rPr>
    </w:lvl>
    <w:lvl w:ilvl="1" w:tplc="5356725C" w:tentative="1">
      <w:start w:val="1"/>
      <w:numFmt w:val="bullet"/>
      <w:lvlText w:val="o"/>
      <w:lvlJc w:val="left"/>
      <w:pPr>
        <w:ind w:left="1440" w:hanging="360"/>
      </w:pPr>
      <w:rPr>
        <w:rFonts w:ascii="Courier New" w:hAnsi="Courier New" w:cs="Courier New" w:hint="default"/>
      </w:rPr>
    </w:lvl>
    <w:lvl w:ilvl="2" w:tplc="CAEA10AC" w:tentative="1">
      <w:start w:val="1"/>
      <w:numFmt w:val="bullet"/>
      <w:lvlText w:val=""/>
      <w:lvlJc w:val="left"/>
      <w:pPr>
        <w:ind w:left="2160" w:hanging="360"/>
      </w:pPr>
      <w:rPr>
        <w:rFonts w:ascii="Wingdings" w:hAnsi="Wingdings" w:hint="default"/>
      </w:rPr>
    </w:lvl>
    <w:lvl w:ilvl="3" w:tplc="EB4EC250" w:tentative="1">
      <w:start w:val="1"/>
      <w:numFmt w:val="bullet"/>
      <w:lvlText w:val=""/>
      <w:lvlJc w:val="left"/>
      <w:pPr>
        <w:ind w:left="2880" w:hanging="360"/>
      </w:pPr>
      <w:rPr>
        <w:rFonts w:ascii="Symbol" w:hAnsi="Symbol" w:hint="default"/>
      </w:rPr>
    </w:lvl>
    <w:lvl w:ilvl="4" w:tplc="120EEF00" w:tentative="1">
      <w:start w:val="1"/>
      <w:numFmt w:val="bullet"/>
      <w:lvlText w:val="o"/>
      <w:lvlJc w:val="left"/>
      <w:pPr>
        <w:ind w:left="3600" w:hanging="360"/>
      </w:pPr>
      <w:rPr>
        <w:rFonts w:ascii="Courier New" w:hAnsi="Courier New" w:cs="Courier New" w:hint="default"/>
      </w:rPr>
    </w:lvl>
    <w:lvl w:ilvl="5" w:tplc="72186A74" w:tentative="1">
      <w:start w:val="1"/>
      <w:numFmt w:val="bullet"/>
      <w:lvlText w:val=""/>
      <w:lvlJc w:val="left"/>
      <w:pPr>
        <w:ind w:left="4320" w:hanging="360"/>
      </w:pPr>
      <w:rPr>
        <w:rFonts w:ascii="Wingdings" w:hAnsi="Wingdings" w:hint="default"/>
      </w:rPr>
    </w:lvl>
    <w:lvl w:ilvl="6" w:tplc="817611F4" w:tentative="1">
      <w:start w:val="1"/>
      <w:numFmt w:val="bullet"/>
      <w:lvlText w:val=""/>
      <w:lvlJc w:val="left"/>
      <w:pPr>
        <w:ind w:left="5040" w:hanging="360"/>
      </w:pPr>
      <w:rPr>
        <w:rFonts w:ascii="Symbol" w:hAnsi="Symbol" w:hint="default"/>
      </w:rPr>
    </w:lvl>
    <w:lvl w:ilvl="7" w:tplc="20E2E2CA" w:tentative="1">
      <w:start w:val="1"/>
      <w:numFmt w:val="bullet"/>
      <w:lvlText w:val="o"/>
      <w:lvlJc w:val="left"/>
      <w:pPr>
        <w:ind w:left="5760" w:hanging="360"/>
      </w:pPr>
      <w:rPr>
        <w:rFonts w:ascii="Courier New" w:hAnsi="Courier New" w:cs="Courier New" w:hint="default"/>
      </w:rPr>
    </w:lvl>
    <w:lvl w:ilvl="8" w:tplc="ECDAECE0" w:tentative="1">
      <w:start w:val="1"/>
      <w:numFmt w:val="bullet"/>
      <w:lvlText w:val=""/>
      <w:lvlJc w:val="left"/>
      <w:pPr>
        <w:ind w:left="6480" w:hanging="360"/>
      </w:pPr>
      <w:rPr>
        <w:rFonts w:ascii="Wingdings" w:hAnsi="Wingdings" w:hint="default"/>
      </w:rPr>
    </w:lvl>
  </w:abstractNum>
  <w:abstractNum w:abstractNumId="14" w15:restartNumberingAfterBreak="0">
    <w:nsid w:val="24F46BF9"/>
    <w:multiLevelType w:val="hybridMultilevel"/>
    <w:tmpl w:val="B66CDD0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6F2F49"/>
    <w:multiLevelType w:val="hybridMultilevel"/>
    <w:tmpl w:val="2FBA6C6A"/>
    <w:lvl w:ilvl="0" w:tplc="BA061378">
      <w:start w:val="5"/>
      <w:numFmt w:val="bullet"/>
      <w:lvlText w:val="-"/>
      <w:lvlJc w:val="left"/>
      <w:pPr>
        <w:ind w:left="720" w:hanging="360"/>
      </w:pPr>
      <w:rPr>
        <w:rFonts w:ascii="Calibr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559DF"/>
    <w:multiLevelType w:val="hybridMultilevel"/>
    <w:tmpl w:val="B66CDD0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847B16"/>
    <w:multiLevelType w:val="hybridMultilevel"/>
    <w:tmpl w:val="9648ED36"/>
    <w:lvl w:ilvl="0" w:tplc="C9880096">
      <w:start w:val="1"/>
      <w:numFmt w:val="bullet"/>
      <w:lvlText w:val="−"/>
      <w:lvlJc w:val="left"/>
      <w:pPr>
        <w:tabs>
          <w:tab w:val="num" w:pos="720"/>
        </w:tabs>
        <w:ind w:left="720" w:hanging="360"/>
      </w:pPr>
      <w:rPr>
        <w:rFonts w:ascii="Arial Narrow" w:hAnsi="Arial Narrow" w:hint="default"/>
      </w:rPr>
    </w:lvl>
    <w:lvl w:ilvl="1" w:tplc="B822952A" w:tentative="1">
      <w:start w:val="1"/>
      <w:numFmt w:val="bullet"/>
      <w:lvlText w:val="−"/>
      <w:lvlJc w:val="left"/>
      <w:pPr>
        <w:tabs>
          <w:tab w:val="num" w:pos="1440"/>
        </w:tabs>
        <w:ind w:left="1440" w:hanging="360"/>
      </w:pPr>
      <w:rPr>
        <w:rFonts w:ascii="Arial Narrow" w:hAnsi="Arial Narrow" w:hint="default"/>
      </w:rPr>
    </w:lvl>
    <w:lvl w:ilvl="2" w:tplc="FB7C6086">
      <w:start w:val="1"/>
      <w:numFmt w:val="bullet"/>
      <w:lvlText w:val="−"/>
      <w:lvlJc w:val="left"/>
      <w:pPr>
        <w:tabs>
          <w:tab w:val="num" w:pos="2160"/>
        </w:tabs>
        <w:ind w:left="2160" w:hanging="360"/>
      </w:pPr>
      <w:rPr>
        <w:rFonts w:ascii="Arial Narrow" w:hAnsi="Arial Narrow" w:hint="default"/>
      </w:rPr>
    </w:lvl>
    <w:lvl w:ilvl="3" w:tplc="537645EA" w:tentative="1">
      <w:start w:val="1"/>
      <w:numFmt w:val="bullet"/>
      <w:lvlText w:val="−"/>
      <w:lvlJc w:val="left"/>
      <w:pPr>
        <w:tabs>
          <w:tab w:val="num" w:pos="2880"/>
        </w:tabs>
        <w:ind w:left="2880" w:hanging="360"/>
      </w:pPr>
      <w:rPr>
        <w:rFonts w:ascii="Arial Narrow" w:hAnsi="Arial Narrow" w:hint="default"/>
      </w:rPr>
    </w:lvl>
    <w:lvl w:ilvl="4" w:tplc="A8CABA62" w:tentative="1">
      <w:start w:val="1"/>
      <w:numFmt w:val="bullet"/>
      <w:lvlText w:val="−"/>
      <w:lvlJc w:val="left"/>
      <w:pPr>
        <w:tabs>
          <w:tab w:val="num" w:pos="3600"/>
        </w:tabs>
        <w:ind w:left="3600" w:hanging="360"/>
      </w:pPr>
      <w:rPr>
        <w:rFonts w:ascii="Arial Narrow" w:hAnsi="Arial Narrow" w:hint="default"/>
      </w:rPr>
    </w:lvl>
    <w:lvl w:ilvl="5" w:tplc="B31828E2" w:tentative="1">
      <w:start w:val="1"/>
      <w:numFmt w:val="bullet"/>
      <w:lvlText w:val="−"/>
      <w:lvlJc w:val="left"/>
      <w:pPr>
        <w:tabs>
          <w:tab w:val="num" w:pos="4320"/>
        </w:tabs>
        <w:ind w:left="4320" w:hanging="360"/>
      </w:pPr>
      <w:rPr>
        <w:rFonts w:ascii="Arial Narrow" w:hAnsi="Arial Narrow" w:hint="default"/>
      </w:rPr>
    </w:lvl>
    <w:lvl w:ilvl="6" w:tplc="ADAE9A2C" w:tentative="1">
      <w:start w:val="1"/>
      <w:numFmt w:val="bullet"/>
      <w:lvlText w:val="−"/>
      <w:lvlJc w:val="left"/>
      <w:pPr>
        <w:tabs>
          <w:tab w:val="num" w:pos="5040"/>
        </w:tabs>
        <w:ind w:left="5040" w:hanging="360"/>
      </w:pPr>
      <w:rPr>
        <w:rFonts w:ascii="Arial Narrow" w:hAnsi="Arial Narrow" w:hint="default"/>
      </w:rPr>
    </w:lvl>
    <w:lvl w:ilvl="7" w:tplc="15A0EB92" w:tentative="1">
      <w:start w:val="1"/>
      <w:numFmt w:val="bullet"/>
      <w:lvlText w:val="−"/>
      <w:lvlJc w:val="left"/>
      <w:pPr>
        <w:tabs>
          <w:tab w:val="num" w:pos="5760"/>
        </w:tabs>
        <w:ind w:left="5760" w:hanging="360"/>
      </w:pPr>
      <w:rPr>
        <w:rFonts w:ascii="Arial Narrow" w:hAnsi="Arial Narrow" w:hint="default"/>
      </w:rPr>
    </w:lvl>
    <w:lvl w:ilvl="8" w:tplc="CA549168" w:tentative="1">
      <w:start w:val="1"/>
      <w:numFmt w:val="bullet"/>
      <w:lvlText w:val="−"/>
      <w:lvlJc w:val="left"/>
      <w:pPr>
        <w:tabs>
          <w:tab w:val="num" w:pos="6480"/>
        </w:tabs>
        <w:ind w:left="6480" w:hanging="360"/>
      </w:pPr>
      <w:rPr>
        <w:rFonts w:ascii="Arial Narrow" w:hAnsi="Arial Narrow" w:hint="default"/>
      </w:rPr>
    </w:lvl>
  </w:abstractNum>
  <w:abstractNum w:abstractNumId="18" w15:restartNumberingAfterBreak="0">
    <w:nsid w:val="349C71FB"/>
    <w:multiLevelType w:val="hybridMultilevel"/>
    <w:tmpl w:val="B66CDD0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572D22"/>
    <w:multiLevelType w:val="hybridMultilevel"/>
    <w:tmpl w:val="65B674D8"/>
    <w:lvl w:ilvl="0" w:tplc="12FE0286">
      <w:start w:val="1"/>
      <w:numFmt w:val="bullet"/>
      <w:lvlText w:val="−"/>
      <w:lvlJc w:val="left"/>
      <w:pPr>
        <w:tabs>
          <w:tab w:val="num" w:pos="720"/>
        </w:tabs>
        <w:ind w:left="720" w:hanging="360"/>
      </w:pPr>
      <w:rPr>
        <w:rFonts w:ascii="Arial Narrow" w:hAnsi="Arial Narrow" w:hint="default"/>
      </w:rPr>
    </w:lvl>
    <w:lvl w:ilvl="1" w:tplc="2688873C" w:tentative="1">
      <w:start w:val="1"/>
      <w:numFmt w:val="bullet"/>
      <w:lvlText w:val="−"/>
      <w:lvlJc w:val="left"/>
      <w:pPr>
        <w:tabs>
          <w:tab w:val="num" w:pos="1440"/>
        </w:tabs>
        <w:ind w:left="1440" w:hanging="360"/>
      </w:pPr>
      <w:rPr>
        <w:rFonts w:ascii="Arial Narrow" w:hAnsi="Arial Narrow" w:hint="default"/>
      </w:rPr>
    </w:lvl>
    <w:lvl w:ilvl="2" w:tplc="8630836A">
      <w:start w:val="1"/>
      <w:numFmt w:val="bullet"/>
      <w:lvlText w:val="−"/>
      <w:lvlJc w:val="left"/>
      <w:pPr>
        <w:tabs>
          <w:tab w:val="num" w:pos="2160"/>
        </w:tabs>
        <w:ind w:left="2160" w:hanging="360"/>
      </w:pPr>
      <w:rPr>
        <w:rFonts w:ascii="Arial Narrow" w:hAnsi="Arial Narrow" w:hint="default"/>
      </w:rPr>
    </w:lvl>
    <w:lvl w:ilvl="3" w:tplc="F270627C" w:tentative="1">
      <w:start w:val="1"/>
      <w:numFmt w:val="bullet"/>
      <w:lvlText w:val="−"/>
      <w:lvlJc w:val="left"/>
      <w:pPr>
        <w:tabs>
          <w:tab w:val="num" w:pos="2880"/>
        </w:tabs>
        <w:ind w:left="2880" w:hanging="360"/>
      </w:pPr>
      <w:rPr>
        <w:rFonts w:ascii="Arial Narrow" w:hAnsi="Arial Narrow" w:hint="default"/>
      </w:rPr>
    </w:lvl>
    <w:lvl w:ilvl="4" w:tplc="9BB625E4" w:tentative="1">
      <w:start w:val="1"/>
      <w:numFmt w:val="bullet"/>
      <w:lvlText w:val="−"/>
      <w:lvlJc w:val="left"/>
      <w:pPr>
        <w:tabs>
          <w:tab w:val="num" w:pos="3600"/>
        </w:tabs>
        <w:ind w:left="3600" w:hanging="360"/>
      </w:pPr>
      <w:rPr>
        <w:rFonts w:ascii="Arial Narrow" w:hAnsi="Arial Narrow" w:hint="default"/>
      </w:rPr>
    </w:lvl>
    <w:lvl w:ilvl="5" w:tplc="094E58BC" w:tentative="1">
      <w:start w:val="1"/>
      <w:numFmt w:val="bullet"/>
      <w:lvlText w:val="−"/>
      <w:lvlJc w:val="left"/>
      <w:pPr>
        <w:tabs>
          <w:tab w:val="num" w:pos="4320"/>
        </w:tabs>
        <w:ind w:left="4320" w:hanging="360"/>
      </w:pPr>
      <w:rPr>
        <w:rFonts w:ascii="Arial Narrow" w:hAnsi="Arial Narrow" w:hint="default"/>
      </w:rPr>
    </w:lvl>
    <w:lvl w:ilvl="6" w:tplc="A64424D4" w:tentative="1">
      <w:start w:val="1"/>
      <w:numFmt w:val="bullet"/>
      <w:lvlText w:val="−"/>
      <w:lvlJc w:val="left"/>
      <w:pPr>
        <w:tabs>
          <w:tab w:val="num" w:pos="5040"/>
        </w:tabs>
        <w:ind w:left="5040" w:hanging="360"/>
      </w:pPr>
      <w:rPr>
        <w:rFonts w:ascii="Arial Narrow" w:hAnsi="Arial Narrow" w:hint="default"/>
      </w:rPr>
    </w:lvl>
    <w:lvl w:ilvl="7" w:tplc="582CF016" w:tentative="1">
      <w:start w:val="1"/>
      <w:numFmt w:val="bullet"/>
      <w:lvlText w:val="−"/>
      <w:lvlJc w:val="left"/>
      <w:pPr>
        <w:tabs>
          <w:tab w:val="num" w:pos="5760"/>
        </w:tabs>
        <w:ind w:left="5760" w:hanging="360"/>
      </w:pPr>
      <w:rPr>
        <w:rFonts w:ascii="Arial Narrow" w:hAnsi="Arial Narrow" w:hint="default"/>
      </w:rPr>
    </w:lvl>
    <w:lvl w:ilvl="8" w:tplc="2F96D402" w:tentative="1">
      <w:start w:val="1"/>
      <w:numFmt w:val="bullet"/>
      <w:lvlText w:val="−"/>
      <w:lvlJc w:val="left"/>
      <w:pPr>
        <w:tabs>
          <w:tab w:val="num" w:pos="6480"/>
        </w:tabs>
        <w:ind w:left="6480" w:hanging="360"/>
      </w:pPr>
      <w:rPr>
        <w:rFonts w:ascii="Arial Narrow" w:hAnsi="Arial Narrow" w:hint="default"/>
      </w:rPr>
    </w:lvl>
  </w:abstractNum>
  <w:abstractNum w:abstractNumId="20" w15:restartNumberingAfterBreak="0">
    <w:nsid w:val="451E59E3"/>
    <w:multiLevelType w:val="hybridMultilevel"/>
    <w:tmpl w:val="E6D28C2C"/>
    <w:lvl w:ilvl="0" w:tplc="7408DB66">
      <w:numFmt w:val="bullet"/>
      <w:lvlText w:val="•"/>
      <w:lvlJc w:val="left"/>
      <w:pPr>
        <w:tabs>
          <w:tab w:val="num" w:pos="360"/>
        </w:tabs>
        <w:ind w:left="360" w:hanging="360"/>
      </w:pPr>
      <w:rPr>
        <w:rFonts w:ascii="Arial" w:hAnsi="Arial" w:hint="default"/>
        <w:color w:val="61B57C"/>
        <w:lang w:val="en-GB"/>
      </w:rPr>
    </w:lvl>
    <w:lvl w:ilvl="1" w:tplc="01EE78DA">
      <w:start w:val="37"/>
      <w:numFmt w:val="bullet"/>
      <w:lvlText w:val="-"/>
      <w:lvlJc w:val="left"/>
      <w:pPr>
        <w:tabs>
          <w:tab w:val="num" w:pos="1080"/>
        </w:tabs>
        <w:ind w:left="1080" w:hanging="360"/>
      </w:pPr>
      <w:rPr>
        <w:rFonts w:ascii="Arial Narrow" w:hAnsi="Arial Narrow" w:hint="default"/>
        <w:lang w:val="en-US"/>
      </w:rPr>
    </w:lvl>
    <w:lvl w:ilvl="2" w:tplc="DC66CAC2">
      <w:start w:val="1"/>
      <w:numFmt w:val="bullet"/>
      <w:lvlText w:val=""/>
      <w:lvlJc w:val="left"/>
      <w:pPr>
        <w:tabs>
          <w:tab w:val="num" w:pos="1800"/>
        </w:tabs>
        <w:ind w:left="1800" w:hanging="360"/>
      </w:pPr>
      <w:rPr>
        <w:rFonts w:ascii="Wingdings" w:hAnsi="Wingdings" w:hint="default"/>
      </w:rPr>
    </w:lvl>
    <w:lvl w:ilvl="3" w:tplc="192E55CC">
      <w:start w:val="1"/>
      <w:numFmt w:val="bullet"/>
      <w:lvlText w:val=""/>
      <w:lvlJc w:val="left"/>
      <w:pPr>
        <w:tabs>
          <w:tab w:val="num" w:pos="2520"/>
        </w:tabs>
        <w:ind w:left="2520" w:hanging="360"/>
      </w:pPr>
      <w:rPr>
        <w:rFonts w:ascii="Wingdings" w:hAnsi="Wingdings" w:hint="default"/>
      </w:rPr>
    </w:lvl>
    <w:lvl w:ilvl="4" w:tplc="C37E5700" w:tentative="1">
      <w:start w:val="1"/>
      <w:numFmt w:val="bullet"/>
      <w:lvlText w:val=""/>
      <w:lvlJc w:val="left"/>
      <w:pPr>
        <w:tabs>
          <w:tab w:val="num" w:pos="3240"/>
        </w:tabs>
        <w:ind w:left="3240" w:hanging="360"/>
      </w:pPr>
      <w:rPr>
        <w:rFonts w:ascii="Wingdings" w:hAnsi="Wingdings" w:hint="default"/>
      </w:rPr>
    </w:lvl>
    <w:lvl w:ilvl="5" w:tplc="32B46AE0" w:tentative="1">
      <w:start w:val="1"/>
      <w:numFmt w:val="bullet"/>
      <w:lvlText w:val=""/>
      <w:lvlJc w:val="left"/>
      <w:pPr>
        <w:tabs>
          <w:tab w:val="num" w:pos="3960"/>
        </w:tabs>
        <w:ind w:left="3960" w:hanging="360"/>
      </w:pPr>
      <w:rPr>
        <w:rFonts w:ascii="Wingdings" w:hAnsi="Wingdings" w:hint="default"/>
      </w:rPr>
    </w:lvl>
    <w:lvl w:ilvl="6" w:tplc="B1FA70A2" w:tentative="1">
      <w:start w:val="1"/>
      <w:numFmt w:val="bullet"/>
      <w:lvlText w:val=""/>
      <w:lvlJc w:val="left"/>
      <w:pPr>
        <w:tabs>
          <w:tab w:val="num" w:pos="4680"/>
        </w:tabs>
        <w:ind w:left="4680" w:hanging="360"/>
      </w:pPr>
      <w:rPr>
        <w:rFonts w:ascii="Wingdings" w:hAnsi="Wingdings" w:hint="default"/>
      </w:rPr>
    </w:lvl>
    <w:lvl w:ilvl="7" w:tplc="68B69C08" w:tentative="1">
      <w:start w:val="1"/>
      <w:numFmt w:val="bullet"/>
      <w:lvlText w:val=""/>
      <w:lvlJc w:val="left"/>
      <w:pPr>
        <w:tabs>
          <w:tab w:val="num" w:pos="5400"/>
        </w:tabs>
        <w:ind w:left="5400" w:hanging="360"/>
      </w:pPr>
      <w:rPr>
        <w:rFonts w:ascii="Wingdings" w:hAnsi="Wingdings" w:hint="default"/>
      </w:rPr>
    </w:lvl>
    <w:lvl w:ilvl="8" w:tplc="61AA2C3A"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3A3BAA"/>
    <w:multiLevelType w:val="hybridMultilevel"/>
    <w:tmpl w:val="7598A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6A73E0"/>
    <w:multiLevelType w:val="hybridMultilevel"/>
    <w:tmpl w:val="717C3070"/>
    <w:lvl w:ilvl="0" w:tplc="A5F4255A">
      <w:numFmt w:val="bullet"/>
      <w:lvlText w:val="-"/>
      <w:lvlJc w:val="left"/>
      <w:pPr>
        <w:ind w:left="720" w:hanging="360"/>
      </w:pPr>
      <w:rPr>
        <w:rFonts w:ascii="Arial Narrow" w:eastAsia="MS Mincho"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D742C"/>
    <w:multiLevelType w:val="hybridMultilevel"/>
    <w:tmpl w:val="0D1072BA"/>
    <w:lvl w:ilvl="0" w:tplc="EE2495DE">
      <w:start w:val="1"/>
      <w:numFmt w:val="bullet"/>
      <w:lvlText w:val="−"/>
      <w:lvlJc w:val="left"/>
      <w:pPr>
        <w:tabs>
          <w:tab w:val="num" w:pos="720"/>
        </w:tabs>
        <w:ind w:left="720" w:hanging="360"/>
      </w:pPr>
      <w:rPr>
        <w:rFonts w:ascii="Arial Narrow" w:hAnsi="Arial Narrow" w:hint="default"/>
      </w:rPr>
    </w:lvl>
    <w:lvl w:ilvl="1" w:tplc="CFDA5850" w:tentative="1">
      <w:start w:val="1"/>
      <w:numFmt w:val="bullet"/>
      <w:lvlText w:val="−"/>
      <w:lvlJc w:val="left"/>
      <w:pPr>
        <w:tabs>
          <w:tab w:val="num" w:pos="1440"/>
        </w:tabs>
        <w:ind w:left="1440" w:hanging="360"/>
      </w:pPr>
      <w:rPr>
        <w:rFonts w:ascii="Arial Narrow" w:hAnsi="Arial Narrow" w:hint="default"/>
      </w:rPr>
    </w:lvl>
    <w:lvl w:ilvl="2" w:tplc="5E902F0A">
      <w:start w:val="1"/>
      <w:numFmt w:val="bullet"/>
      <w:lvlText w:val="−"/>
      <w:lvlJc w:val="left"/>
      <w:pPr>
        <w:tabs>
          <w:tab w:val="num" w:pos="2160"/>
        </w:tabs>
        <w:ind w:left="2160" w:hanging="360"/>
      </w:pPr>
      <w:rPr>
        <w:rFonts w:ascii="Arial Narrow" w:hAnsi="Arial Narrow" w:hint="default"/>
      </w:rPr>
    </w:lvl>
    <w:lvl w:ilvl="3" w:tplc="0C5099D6" w:tentative="1">
      <w:start w:val="1"/>
      <w:numFmt w:val="bullet"/>
      <w:lvlText w:val="−"/>
      <w:lvlJc w:val="left"/>
      <w:pPr>
        <w:tabs>
          <w:tab w:val="num" w:pos="2880"/>
        </w:tabs>
        <w:ind w:left="2880" w:hanging="360"/>
      </w:pPr>
      <w:rPr>
        <w:rFonts w:ascii="Arial Narrow" w:hAnsi="Arial Narrow" w:hint="default"/>
      </w:rPr>
    </w:lvl>
    <w:lvl w:ilvl="4" w:tplc="3DC0791A" w:tentative="1">
      <w:start w:val="1"/>
      <w:numFmt w:val="bullet"/>
      <w:lvlText w:val="−"/>
      <w:lvlJc w:val="left"/>
      <w:pPr>
        <w:tabs>
          <w:tab w:val="num" w:pos="3600"/>
        </w:tabs>
        <w:ind w:left="3600" w:hanging="360"/>
      </w:pPr>
      <w:rPr>
        <w:rFonts w:ascii="Arial Narrow" w:hAnsi="Arial Narrow" w:hint="default"/>
      </w:rPr>
    </w:lvl>
    <w:lvl w:ilvl="5" w:tplc="5B16D83E" w:tentative="1">
      <w:start w:val="1"/>
      <w:numFmt w:val="bullet"/>
      <w:lvlText w:val="−"/>
      <w:lvlJc w:val="left"/>
      <w:pPr>
        <w:tabs>
          <w:tab w:val="num" w:pos="4320"/>
        </w:tabs>
        <w:ind w:left="4320" w:hanging="360"/>
      </w:pPr>
      <w:rPr>
        <w:rFonts w:ascii="Arial Narrow" w:hAnsi="Arial Narrow" w:hint="default"/>
      </w:rPr>
    </w:lvl>
    <w:lvl w:ilvl="6" w:tplc="6ED69912" w:tentative="1">
      <w:start w:val="1"/>
      <w:numFmt w:val="bullet"/>
      <w:lvlText w:val="−"/>
      <w:lvlJc w:val="left"/>
      <w:pPr>
        <w:tabs>
          <w:tab w:val="num" w:pos="5040"/>
        </w:tabs>
        <w:ind w:left="5040" w:hanging="360"/>
      </w:pPr>
      <w:rPr>
        <w:rFonts w:ascii="Arial Narrow" w:hAnsi="Arial Narrow" w:hint="default"/>
      </w:rPr>
    </w:lvl>
    <w:lvl w:ilvl="7" w:tplc="F2B0CF3E" w:tentative="1">
      <w:start w:val="1"/>
      <w:numFmt w:val="bullet"/>
      <w:lvlText w:val="−"/>
      <w:lvlJc w:val="left"/>
      <w:pPr>
        <w:tabs>
          <w:tab w:val="num" w:pos="5760"/>
        </w:tabs>
        <w:ind w:left="5760" w:hanging="360"/>
      </w:pPr>
      <w:rPr>
        <w:rFonts w:ascii="Arial Narrow" w:hAnsi="Arial Narrow" w:hint="default"/>
      </w:rPr>
    </w:lvl>
    <w:lvl w:ilvl="8" w:tplc="0792E222" w:tentative="1">
      <w:start w:val="1"/>
      <w:numFmt w:val="bullet"/>
      <w:lvlText w:val="−"/>
      <w:lvlJc w:val="left"/>
      <w:pPr>
        <w:tabs>
          <w:tab w:val="num" w:pos="6480"/>
        </w:tabs>
        <w:ind w:left="6480" w:hanging="360"/>
      </w:pPr>
      <w:rPr>
        <w:rFonts w:ascii="Arial Narrow" w:hAnsi="Arial Narrow" w:hint="default"/>
      </w:rPr>
    </w:lvl>
  </w:abstractNum>
  <w:abstractNum w:abstractNumId="24" w15:restartNumberingAfterBreak="0">
    <w:nsid w:val="53A810CA"/>
    <w:multiLevelType w:val="hybridMultilevel"/>
    <w:tmpl w:val="F4AE3E0C"/>
    <w:lvl w:ilvl="0" w:tplc="96721962">
      <w:start w:val="1"/>
      <w:numFmt w:val="bullet"/>
      <w:lvlText w:val=""/>
      <w:lvlJc w:val="left"/>
      <w:pPr>
        <w:ind w:left="720" w:hanging="360"/>
      </w:pPr>
      <w:rPr>
        <w:rFonts w:ascii="Symbol" w:hAnsi="Symbol" w:hint="default"/>
      </w:rPr>
    </w:lvl>
    <w:lvl w:ilvl="1" w:tplc="3DE016F6" w:tentative="1">
      <w:start w:val="1"/>
      <w:numFmt w:val="bullet"/>
      <w:lvlText w:val="o"/>
      <w:lvlJc w:val="left"/>
      <w:pPr>
        <w:ind w:left="1440" w:hanging="360"/>
      </w:pPr>
      <w:rPr>
        <w:rFonts w:ascii="Courier New" w:hAnsi="Courier New" w:cs="Courier New" w:hint="default"/>
      </w:rPr>
    </w:lvl>
    <w:lvl w:ilvl="2" w:tplc="38EE5CCA" w:tentative="1">
      <w:start w:val="1"/>
      <w:numFmt w:val="bullet"/>
      <w:lvlText w:val=""/>
      <w:lvlJc w:val="left"/>
      <w:pPr>
        <w:ind w:left="2160" w:hanging="360"/>
      </w:pPr>
      <w:rPr>
        <w:rFonts w:ascii="Wingdings" w:hAnsi="Wingdings" w:hint="default"/>
      </w:rPr>
    </w:lvl>
    <w:lvl w:ilvl="3" w:tplc="07C095F0" w:tentative="1">
      <w:start w:val="1"/>
      <w:numFmt w:val="bullet"/>
      <w:lvlText w:val=""/>
      <w:lvlJc w:val="left"/>
      <w:pPr>
        <w:ind w:left="2880" w:hanging="360"/>
      </w:pPr>
      <w:rPr>
        <w:rFonts w:ascii="Symbol" w:hAnsi="Symbol" w:hint="default"/>
      </w:rPr>
    </w:lvl>
    <w:lvl w:ilvl="4" w:tplc="B114CE96" w:tentative="1">
      <w:start w:val="1"/>
      <w:numFmt w:val="bullet"/>
      <w:lvlText w:val="o"/>
      <w:lvlJc w:val="left"/>
      <w:pPr>
        <w:ind w:left="3600" w:hanging="360"/>
      </w:pPr>
      <w:rPr>
        <w:rFonts w:ascii="Courier New" w:hAnsi="Courier New" w:cs="Courier New" w:hint="default"/>
      </w:rPr>
    </w:lvl>
    <w:lvl w:ilvl="5" w:tplc="C4EAF9BA" w:tentative="1">
      <w:start w:val="1"/>
      <w:numFmt w:val="bullet"/>
      <w:lvlText w:val=""/>
      <w:lvlJc w:val="left"/>
      <w:pPr>
        <w:ind w:left="4320" w:hanging="360"/>
      </w:pPr>
      <w:rPr>
        <w:rFonts w:ascii="Wingdings" w:hAnsi="Wingdings" w:hint="default"/>
      </w:rPr>
    </w:lvl>
    <w:lvl w:ilvl="6" w:tplc="F4248E82" w:tentative="1">
      <w:start w:val="1"/>
      <w:numFmt w:val="bullet"/>
      <w:lvlText w:val=""/>
      <w:lvlJc w:val="left"/>
      <w:pPr>
        <w:ind w:left="5040" w:hanging="360"/>
      </w:pPr>
      <w:rPr>
        <w:rFonts w:ascii="Symbol" w:hAnsi="Symbol" w:hint="default"/>
      </w:rPr>
    </w:lvl>
    <w:lvl w:ilvl="7" w:tplc="BBB6A3E0" w:tentative="1">
      <w:start w:val="1"/>
      <w:numFmt w:val="bullet"/>
      <w:lvlText w:val="o"/>
      <w:lvlJc w:val="left"/>
      <w:pPr>
        <w:ind w:left="5760" w:hanging="360"/>
      </w:pPr>
      <w:rPr>
        <w:rFonts w:ascii="Courier New" w:hAnsi="Courier New" w:cs="Courier New" w:hint="default"/>
      </w:rPr>
    </w:lvl>
    <w:lvl w:ilvl="8" w:tplc="59769BA0" w:tentative="1">
      <w:start w:val="1"/>
      <w:numFmt w:val="bullet"/>
      <w:lvlText w:val=""/>
      <w:lvlJc w:val="left"/>
      <w:pPr>
        <w:ind w:left="6480" w:hanging="360"/>
      </w:pPr>
      <w:rPr>
        <w:rFonts w:ascii="Wingdings" w:hAnsi="Wingdings" w:hint="default"/>
      </w:rPr>
    </w:lvl>
  </w:abstractNum>
  <w:abstractNum w:abstractNumId="25" w15:restartNumberingAfterBreak="0">
    <w:nsid w:val="542C5B90"/>
    <w:multiLevelType w:val="hybridMultilevel"/>
    <w:tmpl w:val="DC600F5E"/>
    <w:lvl w:ilvl="0" w:tplc="DD1640E6">
      <w:start w:val="1"/>
      <w:numFmt w:val="bullet"/>
      <w:lvlText w:val="−"/>
      <w:lvlJc w:val="left"/>
      <w:pPr>
        <w:tabs>
          <w:tab w:val="num" w:pos="720"/>
        </w:tabs>
        <w:ind w:left="720" w:hanging="360"/>
      </w:pPr>
      <w:rPr>
        <w:rFonts w:ascii="Arial Narrow" w:hAnsi="Arial Narrow" w:hint="default"/>
      </w:rPr>
    </w:lvl>
    <w:lvl w:ilvl="1" w:tplc="0B5294F6" w:tentative="1">
      <w:start w:val="1"/>
      <w:numFmt w:val="bullet"/>
      <w:lvlText w:val="−"/>
      <w:lvlJc w:val="left"/>
      <w:pPr>
        <w:tabs>
          <w:tab w:val="num" w:pos="1440"/>
        </w:tabs>
        <w:ind w:left="1440" w:hanging="360"/>
      </w:pPr>
      <w:rPr>
        <w:rFonts w:ascii="Arial Narrow" w:hAnsi="Arial Narrow" w:hint="default"/>
      </w:rPr>
    </w:lvl>
    <w:lvl w:ilvl="2" w:tplc="251C2A2A">
      <w:start w:val="1"/>
      <w:numFmt w:val="bullet"/>
      <w:lvlText w:val="−"/>
      <w:lvlJc w:val="left"/>
      <w:pPr>
        <w:tabs>
          <w:tab w:val="num" w:pos="2160"/>
        </w:tabs>
        <w:ind w:left="2160" w:hanging="360"/>
      </w:pPr>
      <w:rPr>
        <w:rFonts w:ascii="Arial Narrow" w:hAnsi="Arial Narrow" w:hint="default"/>
      </w:rPr>
    </w:lvl>
    <w:lvl w:ilvl="3" w:tplc="17E052E4" w:tentative="1">
      <w:start w:val="1"/>
      <w:numFmt w:val="bullet"/>
      <w:lvlText w:val="−"/>
      <w:lvlJc w:val="left"/>
      <w:pPr>
        <w:tabs>
          <w:tab w:val="num" w:pos="2880"/>
        </w:tabs>
        <w:ind w:left="2880" w:hanging="360"/>
      </w:pPr>
      <w:rPr>
        <w:rFonts w:ascii="Arial Narrow" w:hAnsi="Arial Narrow" w:hint="default"/>
      </w:rPr>
    </w:lvl>
    <w:lvl w:ilvl="4" w:tplc="611E40B2" w:tentative="1">
      <w:start w:val="1"/>
      <w:numFmt w:val="bullet"/>
      <w:lvlText w:val="−"/>
      <w:lvlJc w:val="left"/>
      <w:pPr>
        <w:tabs>
          <w:tab w:val="num" w:pos="3600"/>
        </w:tabs>
        <w:ind w:left="3600" w:hanging="360"/>
      </w:pPr>
      <w:rPr>
        <w:rFonts w:ascii="Arial Narrow" w:hAnsi="Arial Narrow" w:hint="default"/>
      </w:rPr>
    </w:lvl>
    <w:lvl w:ilvl="5" w:tplc="764E1D40" w:tentative="1">
      <w:start w:val="1"/>
      <w:numFmt w:val="bullet"/>
      <w:lvlText w:val="−"/>
      <w:lvlJc w:val="left"/>
      <w:pPr>
        <w:tabs>
          <w:tab w:val="num" w:pos="4320"/>
        </w:tabs>
        <w:ind w:left="4320" w:hanging="360"/>
      </w:pPr>
      <w:rPr>
        <w:rFonts w:ascii="Arial Narrow" w:hAnsi="Arial Narrow" w:hint="default"/>
      </w:rPr>
    </w:lvl>
    <w:lvl w:ilvl="6" w:tplc="A6AC8932" w:tentative="1">
      <w:start w:val="1"/>
      <w:numFmt w:val="bullet"/>
      <w:lvlText w:val="−"/>
      <w:lvlJc w:val="left"/>
      <w:pPr>
        <w:tabs>
          <w:tab w:val="num" w:pos="5040"/>
        </w:tabs>
        <w:ind w:left="5040" w:hanging="360"/>
      </w:pPr>
      <w:rPr>
        <w:rFonts w:ascii="Arial Narrow" w:hAnsi="Arial Narrow" w:hint="default"/>
      </w:rPr>
    </w:lvl>
    <w:lvl w:ilvl="7" w:tplc="EC10E060" w:tentative="1">
      <w:start w:val="1"/>
      <w:numFmt w:val="bullet"/>
      <w:lvlText w:val="−"/>
      <w:lvlJc w:val="left"/>
      <w:pPr>
        <w:tabs>
          <w:tab w:val="num" w:pos="5760"/>
        </w:tabs>
        <w:ind w:left="5760" w:hanging="360"/>
      </w:pPr>
      <w:rPr>
        <w:rFonts w:ascii="Arial Narrow" w:hAnsi="Arial Narrow" w:hint="default"/>
      </w:rPr>
    </w:lvl>
    <w:lvl w:ilvl="8" w:tplc="8098DB7A" w:tentative="1">
      <w:start w:val="1"/>
      <w:numFmt w:val="bullet"/>
      <w:lvlText w:val="−"/>
      <w:lvlJc w:val="left"/>
      <w:pPr>
        <w:tabs>
          <w:tab w:val="num" w:pos="6480"/>
        </w:tabs>
        <w:ind w:left="6480" w:hanging="360"/>
      </w:pPr>
      <w:rPr>
        <w:rFonts w:ascii="Arial Narrow" w:hAnsi="Arial Narrow" w:hint="default"/>
      </w:rPr>
    </w:lvl>
  </w:abstractNum>
  <w:abstractNum w:abstractNumId="26" w15:restartNumberingAfterBreak="0">
    <w:nsid w:val="54CF5826"/>
    <w:multiLevelType w:val="hybridMultilevel"/>
    <w:tmpl w:val="F8E02F22"/>
    <w:lvl w:ilvl="0" w:tplc="9BA47CDC">
      <w:start w:val="1"/>
      <w:numFmt w:val="bullet"/>
      <w:lvlText w:val="−"/>
      <w:lvlJc w:val="left"/>
      <w:pPr>
        <w:tabs>
          <w:tab w:val="num" w:pos="720"/>
        </w:tabs>
        <w:ind w:left="720" w:hanging="360"/>
      </w:pPr>
      <w:rPr>
        <w:rFonts w:ascii="Arial Narrow" w:hAnsi="Arial Narrow" w:hint="default"/>
      </w:rPr>
    </w:lvl>
    <w:lvl w:ilvl="1" w:tplc="7EC4A848" w:tentative="1">
      <w:start w:val="1"/>
      <w:numFmt w:val="bullet"/>
      <w:lvlText w:val="−"/>
      <w:lvlJc w:val="left"/>
      <w:pPr>
        <w:tabs>
          <w:tab w:val="num" w:pos="1440"/>
        </w:tabs>
        <w:ind w:left="1440" w:hanging="360"/>
      </w:pPr>
      <w:rPr>
        <w:rFonts w:ascii="Arial Narrow" w:hAnsi="Arial Narrow" w:hint="default"/>
      </w:rPr>
    </w:lvl>
    <w:lvl w:ilvl="2" w:tplc="6FB29038">
      <w:start w:val="1"/>
      <w:numFmt w:val="bullet"/>
      <w:lvlText w:val="−"/>
      <w:lvlJc w:val="left"/>
      <w:pPr>
        <w:tabs>
          <w:tab w:val="num" w:pos="2160"/>
        </w:tabs>
        <w:ind w:left="2160" w:hanging="360"/>
      </w:pPr>
      <w:rPr>
        <w:rFonts w:ascii="Arial Narrow" w:hAnsi="Arial Narrow" w:hint="default"/>
      </w:rPr>
    </w:lvl>
    <w:lvl w:ilvl="3" w:tplc="1C509BF0" w:tentative="1">
      <w:start w:val="1"/>
      <w:numFmt w:val="bullet"/>
      <w:lvlText w:val="−"/>
      <w:lvlJc w:val="left"/>
      <w:pPr>
        <w:tabs>
          <w:tab w:val="num" w:pos="2880"/>
        </w:tabs>
        <w:ind w:left="2880" w:hanging="360"/>
      </w:pPr>
      <w:rPr>
        <w:rFonts w:ascii="Arial Narrow" w:hAnsi="Arial Narrow" w:hint="default"/>
      </w:rPr>
    </w:lvl>
    <w:lvl w:ilvl="4" w:tplc="D9B0E740" w:tentative="1">
      <w:start w:val="1"/>
      <w:numFmt w:val="bullet"/>
      <w:lvlText w:val="−"/>
      <w:lvlJc w:val="left"/>
      <w:pPr>
        <w:tabs>
          <w:tab w:val="num" w:pos="3600"/>
        </w:tabs>
        <w:ind w:left="3600" w:hanging="360"/>
      </w:pPr>
      <w:rPr>
        <w:rFonts w:ascii="Arial Narrow" w:hAnsi="Arial Narrow" w:hint="default"/>
      </w:rPr>
    </w:lvl>
    <w:lvl w:ilvl="5" w:tplc="1BACD766" w:tentative="1">
      <w:start w:val="1"/>
      <w:numFmt w:val="bullet"/>
      <w:lvlText w:val="−"/>
      <w:lvlJc w:val="left"/>
      <w:pPr>
        <w:tabs>
          <w:tab w:val="num" w:pos="4320"/>
        </w:tabs>
        <w:ind w:left="4320" w:hanging="360"/>
      </w:pPr>
      <w:rPr>
        <w:rFonts w:ascii="Arial Narrow" w:hAnsi="Arial Narrow" w:hint="default"/>
      </w:rPr>
    </w:lvl>
    <w:lvl w:ilvl="6" w:tplc="FB7ECAB0" w:tentative="1">
      <w:start w:val="1"/>
      <w:numFmt w:val="bullet"/>
      <w:lvlText w:val="−"/>
      <w:lvlJc w:val="left"/>
      <w:pPr>
        <w:tabs>
          <w:tab w:val="num" w:pos="5040"/>
        </w:tabs>
        <w:ind w:left="5040" w:hanging="360"/>
      </w:pPr>
      <w:rPr>
        <w:rFonts w:ascii="Arial Narrow" w:hAnsi="Arial Narrow" w:hint="default"/>
      </w:rPr>
    </w:lvl>
    <w:lvl w:ilvl="7" w:tplc="4C3C2DF6" w:tentative="1">
      <w:start w:val="1"/>
      <w:numFmt w:val="bullet"/>
      <w:lvlText w:val="−"/>
      <w:lvlJc w:val="left"/>
      <w:pPr>
        <w:tabs>
          <w:tab w:val="num" w:pos="5760"/>
        </w:tabs>
        <w:ind w:left="5760" w:hanging="360"/>
      </w:pPr>
      <w:rPr>
        <w:rFonts w:ascii="Arial Narrow" w:hAnsi="Arial Narrow" w:hint="default"/>
      </w:rPr>
    </w:lvl>
    <w:lvl w:ilvl="8" w:tplc="8EA03836" w:tentative="1">
      <w:start w:val="1"/>
      <w:numFmt w:val="bullet"/>
      <w:lvlText w:val="−"/>
      <w:lvlJc w:val="left"/>
      <w:pPr>
        <w:tabs>
          <w:tab w:val="num" w:pos="6480"/>
        </w:tabs>
        <w:ind w:left="6480" w:hanging="360"/>
      </w:pPr>
      <w:rPr>
        <w:rFonts w:ascii="Arial Narrow" w:hAnsi="Arial Narrow" w:hint="default"/>
      </w:rPr>
    </w:lvl>
  </w:abstractNum>
  <w:abstractNum w:abstractNumId="27" w15:restartNumberingAfterBreak="0">
    <w:nsid w:val="578975EC"/>
    <w:multiLevelType w:val="hybridMultilevel"/>
    <w:tmpl w:val="55AAE9F4"/>
    <w:lvl w:ilvl="0" w:tplc="C2EA3FC8">
      <w:start w:val="1"/>
      <w:numFmt w:val="bullet"/>
      <w:lvlText w:val="−"/>
      <w:lvlJc w:val="left"/>
      <w:pPr>
        <w:tabs>
          <w:tab w:val="num" w:pos="720"/>
        </w:tabs>
        <w:ind w:left="720" w:hanging="360"/>
      </w:pPr>
      <w:rPr>
        <w:rFonts w:ascii="Arial Narrow" w:hAnsi="Arial Narrow" w:hint="default"/>
      </w:rPr>
    </w:lvl>
    <w:lvl w:ilvl="1" w:tplc="5D2247B8" w:tentative="1">
      <w:start w:val="1"/>
      <w:numFmt w:val="bullet"/>
      <w:lvlText w:val="−"/>
      <w:lvlJc w:val="left"/>
      <w:pPr>
        <w:tabs>
          <w:tab w:val="num" w:pos="1440"/>
        </w:tabs>
        <w:ind w:left="1440" w:hanging="360"/>
      </w:pPr>
      <w:rPr>
        <w:rFonts w:ascii="Arial Narrow" w:hAnsi="Arial Narrow" w:hint="default"/>
      </w:rPr>
    </w:lvl>
    <w:lvl w:ilvl="2" w:tplc="CD6C2124">
      <w:start w:val="1"/>
      <w:numFmt w:val="bullet"/>
      <w:lvlText w:val="−"/>
      <w:lvlJc w:val="left"/>
      <w:pPr>
        <w:tabs>
          <w:tab w:val="num" w:pos="2160"/>
        </w:tabs>
        <w:ind w:left="2160" w:hanging="360"/>
      </w:pPr>
      <w:rPr>
        <w:rFonts w:ascii="Arial Narrow" w:hAnsi="Arial Narrow" w:hint="default"/>
      </w:rPr>
    </w:lvl>
    <w:lvl w:ilvl="3" w:tplc="B210BC68" w:tentative="1">
      <w:start w:val="1"/>
      <w:numFmt w:val="bullet"/>
      <w:lvlText w:val="−"/>
      <w:lvlJc w:val="left"/>
      <w:pPr>
        <w:tabs>
          <w:tab w:val="num" w:pos="2880"/>
        </w:tabs>
        <w:ind w:left="2880" w:hanging="360"/>
      </w:pPr>
      <w:rPr>
        <w:rFonts w:ascii="Arial Narrow" w:hAnsi="Arial Narrow" w:hint="default"/>
      </w:rPr>
    </w:lvl>
    <w:lvl w:ilvl="4" w:tplc="59129BA6" w:tentative="1">
      <w:start w:val="1"/>
      <w:numFmt w:val="bullet"/>
      <w:lvlText w:val="−"/>
      <w:lvlJc w:val="left"/>
      <w:pPr>
        <w:tabs>
          <w:tab w:val="num" w:pos="3600"/>
        </w:tabs>
        <w:ind w:left="3600" w:hanging="360"/>
      </w:pPr>
      <w:rPr>
        <w:rFonts w:ascii="Arial Narrow" w:hAnsi="Arial Narrow" w:hint="default"/>
      </w:rPr>
    </w:lvl>
    <w:lvl w:ilvl="5" w:tplc="98A812AC" w:tentative="1">
      <w:start w:val="1"/>
      <w:numFmt w:val="bullet"/>
      <w:lvlText w:val="−"/>
      <w:lvlJc w:val="left"/>
      <w:pPr>
        <w:tabs>
          <w:tab w:val="num" w:pos="4320"/>
        </w:tabs>
        <w:ind w:left="4320" w:hanging="360"/>
      </w:pPr>
      <w:rPr>
        <w:rFonts w:ascii="Arial Narrow" w:hAnsi="Arial Narrow" w:hint="default"/>
      </w:rPr>
    </w:lvl>
    <w:lvl w:ilvl="6" w:tplc="D4CAD7A4" w:tentative="1">
      <w:start w:val="1"/>
      <w:numFmt w:val="bullet"/>
      <w:lvlText w:val="−"/>
      <w:lvlJc w:val="left"/>
      <w:pPr>
        <w:tabs>
          <w:tab w:val="num" w:pos="5040"/>
        </w:tabs>
        <w:ind w:left="5040" w:hanging="360"/>
      </w:pPr>
      <w:rPr>
        <w:rFonts w:ascii="Arial Narrow" w:hAnsi="Arial Narrow" w:hint="default"/>
      </w:rPr>
    </w:lvl>
    <w:lvl w:ilvl="7" w:tplc="6E1EEF44" w:tentative="1">
      <w:start w:val="1"/>
      <w:numFmt w:val="bullet"/>
      <w:lvlText w:val="−"/>
      <w:lvlJc w:val="left"/>
      <w:pPr>
        <w:tabs>
          <w:tab w:val="num" w:pos="5760"/>
        </w:tabs>
        <w:ind w:left="5760" w:hanging="360"/>
      </w:pPr>
      <w:rPr>
        <w:rFonts w:ascii="Arial Narrow" w:hAnsi="Arial Narrow" w:hint="default"/>
      </w:rPr>
    </w:lvl>
    <w:lvl w:ilvl="8" w:tplc="AC4C8BDC" w:tentative="1">
      <w:start w:val="1"/>
      <w:numFmt w:val="bullet"/>
      <w:lvlText w:val="−"/>
      <w:lvlJc w:val="left"/>
      <w:pPr>
        <w:tabs>
          <w:tab w:val="num" w:pos="6480"/>
        </w:tabs>
        <w:ind w:left="6480" w:hanging="360"/>
      </w:pPr>
      <w:rPr>
        <w:rFonts w:ascii="Arial Narrow" w:hAnsi="Arial Narrow" w:hint="default"/>
      </w:rPr>
    </w:lvl>
  </w:abstractNum>
  <w:abstractNum w:abstractNumId="28" w15:restartNumberingAfterBreak="0">
    <w:nsid w:val="5C1E2DCB"/>
    <w:multiLevelType w:val="hybridMultilevel"/>
    <w:tmpl w:val="12A4645C"/>
    <w:lvl w:ilvl="0" w:tplc="BA061378">
      <w:start w:val="5"/>
      <w:numFmt w:val="bullet"/>
      <w:lvlText w:val="-"/>
      <w:lvlJc w:val="left"/>
      <w:pPr>
        <w:ind w:left="720" w:hanging="360"/>
      </w:pPr>
      <w:rPr>
        <w:rFonts w:ascii="Calibri" w:hAnsi="Calibr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9F54C7"/>
    <w:multiLevelType w:val="hybridMultilevel"/>
    <w:tmpl w:val="BEAAF6DE"/>
    <w:lvl w:ilvl="0" w:tplc="7E38A14E">
      <w:numFmt w:val="bullet"/>
      <w:lvlText w:val="-"/>
      <w:lvlJc w:val="left"/>
      <w:pPr>
        <w:ind w:left="720" w:hanging="360"/>
      </w:pPr>
      <w:rPr>
        <w:rFonts w:ascii="Arial Narrow" w:eastAsia="MS Mincho"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14242"/>
    <w:multiLevelType w:val="hybridMultilevel"/>
    <w:tmpl w:val="4372F7FC"/>
    <w:lvl w:ilvl="0" w:tplc="02F85A6C">
      <w:start w:val="1"/>
      <w:numFmt w:val="bullet"/>
      <w:lvlText w:val="−"/>
      <w:lvlJc w:val="left"/>
      <w:pPr>
        <w:tabs>
          <w:tab w:val="num" w:pos="720"/>
        </w:tabs>
        <w:ind w:left="720" w:hanging="360"/>
      </w:pPr>
      <w:rPr>
        <w:rFonts w:ascii="Arial Narrow" w:hAnsi="Arial Narrow" w:hint="default"/>
      </w:rPr>
    </w:lvl>
    <w:lvl w:ilvl="1" w:tplc="42B23B1E" w:tentative="1">
      <w:start w:val="1"/>
      <w:numFmt w:val="bullet"/>
      <w:lvlText w:val="−"/>
      <w:lvlJc w:val="left"/>
      <w:pPr>
        <w:tabs>
          <w:tab w:val="num" w:pos="1440"/>
        </w:tabs>
        <w:ind w:left="1440" w:hanging="360"/>
      </w:pPr>
      <w:rPr>
        <w:rFonts w:ascii="Arial Narrow" w:hAnsi="Arial Narrow" w:hint="default"/>
      </w:rPr>
    </w:lvl>
    <w:lvl w:ilvl="2" w:tplc="67FCC86A">
      <w:start w:val="1"/>
      <w:numFmt w:val="bullet"/>
      <w:lvlText w:val="−"/>
      <w:lvlJc w:val="left"/>
      <w:pPr>
        <w:tabs>
          <w:tab w:val="num" w:pos="2160"/>
        </w:tabs>
        <w:ind w:left="2160" w:hanging="360"/>
      </w:pPr>
      <w:rPr>
        <w:rFonts w:ascii="Arial Narrow" w:hAnsi="Arial Narrow" w:hint="default"/>
      </w:rPr>
    </w:lvl>
    <w:lvl w:ilvl="3" w:tplc="1C44D818" w:tentative="1">
      <w:start w:val="1"/>
      <w:numFmt w:val="bullet"/>
      <w:lvlText w:val="−"/>
      <w:lvlJc w:val="left"/>
      <w:pPr>
        <w:tabs>
          <w:tab w:val="num" w:pos="2880"/>
        </w:tabs>
        <w:ind w:left="2880" w:hanging="360"/>
      </w:pPr>
      <w:rPr>
        <w:rFonts w:ascii="Arial Narrow" w:hAnsi="Arial Narrow" w:hint="default"/>
      </w:rPr>
    </w:lvl>
    <w:lvl w:ilvl="4" w:tplc="AF82B022" w:tentative="1">
      <w:start w:val="1"/>
      <w:numFmt w:val="bullet"/>
      <w:lvlText w:val="−"/>
      <w:lvlJc w:val="left"/>
      <w:pPr>
        <w:tabs>
          <w:tab w:val="num" w:pos="3600"/>
        </w:tabs>
        <w:ind w:left="3600" w:hanging="360"/>
      </w:pPr>
      <w:rPr>
        <w:rFonts w:ascii="Arial Narrow" w:hAnsi="Arial Narrow" w:hint="default"/>
      </w:rPr>
    </w:lvl>
    <w:lvl w:ilvl="5" w:tplc="AFA49A9A" w:tentative="1">
      <w:start w:val="1"/>
      <w:numFmt w:val="bullet"/>
      <w:lvlText w:val="−"/>
      <w:lvlJc w:val="left"/>
      <w:pPr>
        <w:tabs>
          <w:tab w:val="num" w:pos="4320"/>
        </w:tabs>
        <w:ind w:left="4320" w:hanging="360"/>
      </w:pPr>
      <w:rPr>
        <w:rFonts w:ascii="Arial Narrow" w:hAnsi="Arial Narrow" w:hint="default"/>
      </w:rPr>
    </w:lvl>
    <w:lvl w:ilvl="6" w:tplc="A580C8CC" w:tentative="1">
      <w:start w:val="1"/>
      <w:numFmt w:val="bullet"/>
      <w:lvlText w:val="−"/>
      <w:lvlJc w:val="left"/>
      <w:pPr>
        <w:tabs>
          <w:tab w:val="num" w:pos="5040"/>
        </w:tabs>
        <w:ind w:left="5040" w:hanging="360"/>
      </w:pPr>
      <w:rPr>
        <w:rFonts w:ascii="Arial Narrow" w:hAnsi="Arial Narrow" w:hint="default"/>
      </w:rPr>
    </w:lvl>
    <w:lvl w:ilvl="7" w:tplc="EFAE77F0" w:tentative="1">
      <w:start w:val="1"/>
      <w:numFmt w:val="bullet"/>
      <w:lvlText w:val="−"/>
      <w:lvlJc w:val="left"/>
      <w:pPr>
        <w:tabs>
          <w:tab w:val="num" w:pos="5760"/>
        </w:tabs>
        <w:ind w:left="5760" w:hanging="360"/>
      </w:pPr>
      <w:rPr>
        <w:rFonts w:ascii="Arial Narrow" w:hAnsi="Arial Narrow" w:hint="default"/>
      </w:rPr>
    </w:lvl>
    <w:lvl w:ilvl="8" w:tplc="BBAE994A" w:tentative="1">
      <w:start w:val="1"/>
      <w:numFmt w:val="bullet"/>
      <w:lvlText w:val="−"/>
      <w:lvlJc w:val="left"/>
      <w:pPr>
        <w:tabs>
          <w:tab w:val="num" w:pos="6480"/>
        </w:tabs>
        <w:ind w:left="6480" w:hanging="360"/>
      </w:pPr>
      <w:rPr>
        <w:rFonts w:ascii="Arial Narrow" w:hAnsi="Arial Narrow" w:hint="default"/>
      </w:rPr>
    </w:lvl>
  </w:abstractNum>
  <w:abstractNum w:abstractNumId="31" w15:restartNumberingAfterBreak="0">
    <w:nsid w:val="60BC6AB2"/>
    <w:multiLevelType w:val="hybridMultilevel"/>
    <w:tmpl w:val="58E49966"/>
    <w:lvl w:ilvl="0" w:tplc="FE1053D8">
      <w:start w:val="1"/>
      <w:numFmt w:val="bullet"/>
      <w:lvlText w:val=""/>
      <w:lvlJc w:val="left"/>
      <w:pPr>
        <w:ind w:left="720" w:hanging="360"/>
      </w:pPr>
      <w:rPr>
        <w:rFonts w:ascii="Symbol" w:hAnsi="Symbol" w:hint="default"/>
      </w:rPr>
    </w:lvl>
    <w:lvl w:ilvl="1" w:tplc="0910F858" w:tentative="1">
      <w:start w:val="1"/>
      <w:numFmt w:val="bullet"/>
      <w:lvlText w:val="o"/>
      <w:lvlJc w:val="left"/>
      <w:pPr>
        <w:ind w:left="1440" w:hanging="360"/>
      </w:pPr>
      <w:rPr>
        <w:rFonts w:ascii="Courier New" w:hAnsi="Courier New" w:cs="Courier New" w:hint="default"/>
      </w:rPr>
    </w:lvl>
    <w:lvl w:ilvl="2" w:tplc="EC668790" w:tentative="1">
      <w:start w:val="1"/>
      <w:numFmt w:val="bullet"/>
      <w:lvlText w:val=""/>
      <w:lvlJc w:val="left"/>
      <w:pPr>
        <w:ind w:left="2160" w:hanging="360"/>
      </w:pPr>
      <w:rPr>
        <w:rFonts w:ascii="Wingdings" w:hAnsi="Wingdings" w:hint="default"/>
      </w:rPr>
    </w:lvl>
    <w:lvl w:ilvl="3" w:tplc="0666AF3A" w:tentative="1">
      <w:start w:val="1"/>
      <w:numFmt w:val="bullet"/>
      <w:lvlText w:val=""/>
      <w:lvlJc w:val="left"/>
      <w:pPr>
        <w:ind w:left="2880" w:hanging="360"/>
      </w:pPr>
      <w:rPr>
        <w:rFonts w:ascii="Symbol" w:hAnsi="Symbol" w:hint="default"/>
      </w:rPr>
    </w:lvl>
    <w:lvl w:ilvl="4" w:tplc="B9801A0E" w:tentative="1">
      <w:start w:val="1"/>
      <w:numFmt w:val="bullet"/>
      <w:lvlText w:val="o"/>
      <w:lvlJc w:val="left"/>
      <w:pPr>
        <w:ind w:left="3600" w:hanging="360"/>
      </w:pPr>
      <w:rPr>
        <w:rFonts w:ascii="Courier New" w:hAnsi="Courier New" w:cs="Courier New" w:hint="default"/>
      </w:rPr>
    </w:lvl>
    <w:lvl w:ilvl="5" w:tplc="05DAD8E4" w:tentative="1">
      <w:start w:val="1"/>
      <w:numFmt w:val="bullet"/>
      <w:lvlText w:val=""/>
      <w:lvlJc w:val="left"/>
      <w:pPr>
        <w:ind w:left="4320" w:hanging="360"/>
      </w:pPr>
      <w:rPr>
        <w:rFonts w:ascii="Wingdings" w:hAnsi="Wingdings" w:hint="default"/>
      </w:rPr>
    </w:lvl>
    <w:lvl w:ilvl="6" w:tplc="669AA572" w:tentative="1">
      <w:start w:val="1"/>
      <w:numFmt w:val="bullet"/>
      <w:lvlText w:val=""/>
      <w:lvlJc w:val="left"/>
      <w:pPr>
        <w:ind w:left="5040" w:hanging="360"/>
      </w:pPr>
      <w:rPr>
        <w:rFonts w:ascii="Symbol" w:hAnsi="Symbol" w:hint="default"/>
      </w:rPr>
    </w:lvl>
    <w:lvl w:ilvl="7" w:tplc="A6FA4A1E" w:tentative="1">
      <w:start w:val="1"/>
      <w:numFmt w:val="bullet"/>
      <w:lvlText w:val="o"/>
      <w:lvlJc w:val="left"/>
      <w:pPr>
        <w:ind w:left="5760" w:hanging="360"/>
      </w:pPr>
      <w:rPr>
        <w:rFonts w:ascii="Courier New" w:hAnsi="Courier New" w:cs="Courier New" w:hint="default"/>
      </w:rPr>
    </w:lvl>
    <w:lvl w:ilvl="8" w:tplc="C2943B4E" w:tentative="1">
      <w:start w:val="1"/>
      <w:numFmt w:val="bullet"/>
      <w:lvlText w:val=""/>
      <w:lvlJc w:val="left"/>
      <w:pPr>
        <w:ind w:left="6480" w:hanging="360"/>
      </w:pPr>
      <w:rPr>
        <w:rFonts w:ascii="Wingdings" w:hAnsi="Wingdings" w:hint="default"/>
      </w:rPr>
    </w:lvl>
  </w:abstractNum>
  <w:abstractNum w:abstractNumId="32" w15:restartNumberingAfterBreak="0">
    <w:nsid w:val="628544E6"/>
    <w:multiLevelType w:val="hybridMultilevel"/>
    <w:tmpl w:val="E1B6ADAE"/>
    <w:lvl w:ilvl="0" w:tplc="6F3A84A2">
      <w:start w:val="1"/>
      <w:numFmt w:val="decimal"/>
      <w:lvlText w:val="%1"/>
      <w:lvlJc w:val="left"/>
      <w:pPr>
        <w:tabs>
          <w:tab w:val="num" w:pos="720"/>
        </w:tabs>
        <w:ind w:left="720" w:hanging="360"/>
      </w:pPr>
    </w:lvl>
    <w:lvl w:ilvl="1" w:tplc="E5160C64" w:tentative="1">
      <w:start w:val="1"/>
      <w:numFmt w:val="decimal"/>
      <w:lvlText w:val="%2"/>
      <w:lvlJc w:val="left"/>
      <w:pPr>
        <w:tabs>
          <w:tab w:val="num" w:pos="1440"/>
        </w:tabs>
        <w:ind w:left="1440" w:hanging="360"/>
      </w:pPr>
    </w:lvl>
    <w:lvl w:ilvl="2" w:tplc="AFB2CB26" w:tentative="1">
      <w:start w:val="1"/>
      <w:numFmt w:val="decimal"/>
      <w:lvlText w:val="%3"/>
      <w:lvlJc w:val="left"/>
      <w:pPr>
        <w:tabs>
          <w:tab w:val="num" w:pos="2160"/>
        </w:tabs>
        <w:ind w:left="2160" w:hanging="360"/>
      </w:pPr>
    </w:lvl>
    <w:lvl w:ilvl="3" w:tplc="EC401186" w:tentative="1">
      <w:start w:val="1"/>
      <w:numFmt w:val="decimal"/>
      <w:lvlText w:val="%4"/>
      <w:lvlJc w:val="left"/>
      <w:pPr>
        <w:tabs>
          <w:tab w:val="num" w:pos="2880"/>
        </w:tabs>
        <w:ind w:left="2880" w:hanging="360"/>
      </w:pPr>
    </w:lvl>
    <w:lvl w:ilvl="4" w:tplc="BA26BEAC" w:tentative="1">
      <w:start w:val="1"/>
      <w:numFmt w:val="decimal"/>
      <w:lvlText w:val="%5"/>
      <w:lvlJc w:val="left"/>
      <w:pPr>
        <w:tabs>
          <w:tab w:val="num" w:pos="3600"/>
        </w:tabs>
        <w:ind w:left="3600" w:hanging="360"/>
      </w:pPr>
    </w:lvl>
    <w:lvl w:ilvl="5" w:tplc="87BCBC8C" w:tentative="1">
      <w:start w:val="1"/>
      <w:numFmt w:val="decimal"/>
      <w:lvlText w:val="%6"/>
      <w:lvlJc w:val="left"/>
      <w:pPr>
        <w:tabs>
          <w:tab w:val="num" w:pos="4320"/>
        </w:tabs>
        <w:ind w:left="4320" w:hanging="360"/>
      </w:pPr>
    </w:lvl>
    <w:lvl w:ilvl="6" w:tplc="EBBE7C60" w:tentative="1">
      <w:start w:val="1"/>
      <w:numFmt w:val="decimal"/>
      <w:lvlText w:val="%7"/>
      <w:lvlJc w:val="left"/>
      <w:pPr>
        <w:tabs>
          <w:tab w:val="num" w:pos="5040"/>
        </w:tabs>
        <w:ind w:left="5040" w:hanging="360"/>
      </w:pPr>
    </w:lvl>
    <w:lvl w:ilvl="7" w:tplc="F326B3E0" w:tentative="1">
      <w:start w:val="1"/>
      <w:numFmt w:val="decimal"/>
      <w:lvlText w:val="%8"/>
      <w:lvlJc w:val="left"/>
      <w:pPr>
        <w:tabs>
          <w:tab w:val="num" w:pos="5760"/>
        </w:tabs>
        <w:ind w:left="5760" w:hanging="360"/>
      </w:pPr>
    </w:lvl>
    <w:lvl w:ilvl="8" w:tplc="4658EF00" w:tentative="1">
      <w:start w:val="1"/>
      <w:numFmt w:val="decimal"/>
      <w:lvlText w:val="%9"/>
      <w:lvlJc w:val="left"/>
      <w:pPr>
        <w:tabs>
          <w:tab w:val="num" w:pos="6480"/>
        </w:tabs>
        <w:ind w:left="6480" w:hanging="360"/>
      </w:pPr>
    </w:lvl>
  </w:abstractNum>
  <w:abstractNum w:abstractNumId="33" w15:restartNumberingAfterBreak="0">
    <w:nsid w:val="65425F8D"/>
    <w:multiLevelType w:val="hybridMultilevel"/>
    <w:tmpl w:val="C68EBB00"/>
    <w:lvl w:ilvl="0" w:tplc="94B443E0">
      <w:start w:val="1"/>
      <w:numFmt w:val="bullet"/>
      <w:lvlText w:val=" "/>
      <w:lvlJc w:val="left"/>
      <w:pPr>
        <w:tabs>
          <w:tab w:val="num" w:pos="720"/>
        </w:tabs>
        <w:ind w:left="720" w:hanging="360"/>
      </w:pPr>
      <w:rPr>
        <w:rFonts w:ascii="Printania Inline" w:hAnsi="Printania Inline" w:hint="default"/>
      </w:rPr>
    </w:lvl>
    <w:lvl w:ilvl="1" w:tplc="5EA65B5A" w:tentative="1">
      <w:start w:val="1"/>
      <w:numFmt w:val="bullet"/>
      <w:lvlText w:val=" "/>
      <w:lvlJc w:val="left"/>
      <w:pPr>
        <w:tabs>
          <w:tab w:val="num" w:pos="1440"/>
        </w:tabs>
        <w:ind w:left="1440" w:hanging="360"/>
      </w:pPr>
      <w:rPr>
        <w:rFonts w:ascii="Printania Inline" w:hAnsi="Printania Inline" w:hint="default"/>
      </w:rPr>
    </w:lvl>
    <w:lvl w:ilvl="2" w:tplc="1F183F96">
      <w:start w:val="2966"/>
      <w:numFmt w:val="bullet"/>
      <w:lvlText w:val="−"/>
      <w:lvlJc w:val="left"/>
      <w:pPr>
        <w:tabs>
          <w:tab w:val="num" w:pos="2160"/>
        </w:tabs>
        <w:ind w:left="2160" w:hanging="360"/>
      </w:pPr>
      <w:rPr>
        <w:rFonts w:ascii="Arial Narrow" w:hAnsi="Arial Narrow" w:hint="default"/>
      </w:rPr>
    </w:lvl>
    <w:lvl w:ilvl="3" w:tplc="E9AE51B6" w:tentative="1">
      <w:start w:val="1"/>
      <w:numFmt w:val="bullet"/>
      <w:lvlText w:val=" "/>
      <w:lvlJc w:val="left"/>
      <w:pPr>
        <w:tabs>
          <w:tab w:val="num" w:pos="2880"/>
        </w:tabs>
        <w:ind w:left="2880" w:hanging="360"/>
      </w:pPr>
      <w:rPr>
        <w:rFonts w:ascii="Printania Inline" w:hAnsi="Printania Inline" w:hint="default"/>
      </w:rPr>
    </w:lvl>
    <w:lvl w:ilvl="4" w:tplc="237A6C34" w:tentative="1">
      <w:start w:val="1"/>
      <w:numFmt w:val="bullet"/>
      <w:lvlText w:val=" "/>
      <w:lvlJc w:val="left"/>
      <w:pPr>
        <w:tabs>
          <w:tab w:val="num" w:pos="3600"/>
        </w:tabs>
        <w:ind w:left="3600" w:hanging="360"/>
      </w:pPr>
      <w:rPr>
        <w:rFonts w:ascii="Printania Inline" w:hAnsi="Printania Inline" w:hint="default"/>
      </w:rPr>
    </w:lvl>
    <w:lvl w:ilvl="5" w:tplc="A71EA6AC" w:tentative="1">
      <w:start w:val="1"/>
      <w:numFmt w:val="bullet"/>
      <w:lvlText w:val=" "/>
      <w:lvlJc w:val="left"/>
      <w:pPr>
        <w:tabs>
          <w:tab w:val="num" w:pos="4320"/>
        </w:tabs>
        <w:ind w:left="4320" w:hanging="360"/>
      </w:pPr>
      <w:rPr>
        <w:rFonts w:ascii="Printania Inline" w:hAnsi="Printania Inline" w:hint="default"/>
      </w:rPr>
    </w:lvl>
    <w:lvl w:ilvl="6" w:tplc="C58657F4" w:tentative="1">
      <w:start w:val="1"/>
      <w:numFmt w:val="bullet"/>
      <w:lvlText w:val=" "/>
      <w:lvlJc w:val="left"/>
      <w:pPr>
        <w:tabs>
          <w:tab w:val="num" w:pos="5040"/>
        </w:tabs>
        <w:ind w:left="5040" w:hanging="360"/>
      </w:pPr>
      <w:rPr>
        <w:rFonts w:ascii="Printania Inline" w:hAnsi="Printania Inline" w:hint="default"/>
      </w:rPr>
    </w:lvl>
    <w:lvl w:ilvl="7" w:tplc="9FAAC92E" w:tentative="1">
      <w:start w:val="1"/>
      <w:numFmt w:val="bullet"/>
      <w:lvlText w:val=" "/>
      <w:lvlJc w:val="left"/>
      <w:pPr>
        <w:tabs>
          <w:tab w:val="num" w:pos="5760"/>
        </w:tabs>
        <w:ind w:left="5760" w:hanging="360"/>
      </w:pPr>
      <w:rPr>
        <w:rFonts w:ascii="Printania Inline" w:hAnsi="Printania Inline" w:hint="default"/>
      </w:rPr>
    </w:lvl>
    <w:lvl w:ilvl="8" w:tplc="8DAC9508" w:tentative="1">
      <w:start w:val="1"/>
      <w:numFmt w:val="bullet"/>
      <w:lvlText w:val=" "/>
      <w:lvlJc w:val="left"/>
      <w:pPr>
        <w:tabs>
          <w:tab w:val="num" w:pos="6480"/>
        </w:tabs>
        <w:ind w:left="6480" w:hanging="360"/>
      </w:pPr>
      <w:rPr>
        <w:rFonts w:ascii="Printania Inline" w:hAnsi="Printania Inline" w:hint="default"/>
      </w:rPr>
    </w:lvl>
  </w:abstractNum>
  <w:abstractNum w:abstractNumId="34" w15:restartNumberingAfterBreak="0">
    <w:nsid w:val="66772569"/>
    <w:multiLevelType w:val="hybridMultilevel"/>
    <w:tmpl w:val="C8E2161C"/>
    <w:lvl w:ilvl="0" w:tplc="0608D938">
      <w:start w:val="1"/>
      <w:numFmt w:val="bullet"/>
      <w:lvlText w:val=""/>
      <w:lvlJc w:val="left"/>
      <w:pPr>
        <w:ind w:left="720" w:hanging="360"/>
      </w:pPr>
      <w:rPr>
        <w:rFonts w:ascii="Wingdings" w:hAnsi="Wingdings" w:hint="default"/>
      </w:rPr>
    </w:lvl>
    <w:lvl w:ilvl="1" w:tplc="B276057E" w:tentative="1">
      <w:start w:val="1"/>
      <w:numFmt w:val="bullet"/>
      <w:lvlText w:val="o"/>
      <w:lvlJc w:val="left"/>
      <w:pPr>
        <w:ind w:left="1440" w:hanging="360"/>
      </w:pPr>
      <w:rPr>
        <w:rFonts w:ascii="Courier New" w:hAnsi="Courier New" w:cs="Courier New" w:hint="default"/>
      </w:rPr>
    </w:lvl>
    <w:lvl w:ilvl="2" w:tplc="01BA9766" w:tentative="1">
      <w:start w:val="1"/>
      <w:numFmt w:val="bullet"/>
      <w:lvlText w:val=""/>
      <w:lvlJc w:val="left"/>
      <w:pPr>
        <w:ind w:left="2160" w:hanging="360"/>
      </w:pPr>
      <w:rPr>
        <w:rFonts w:ascii="Wingdings" w:hAnsi="Wingdings" w:hint="default"/>
      </w:rPr>
    </w:lvl>
    <w:lvl w:ilvl="3" w:tplc="CECC0B84" w:tentative="1">
      <w:start w:val="1"/>
      <w:numFmt w:val="bullet"/>
      <w:lvlText w:val=""/>
      <w:lvlJc w:val="left"/>
      <w:pPr>
        <w:ind w:left="2880" w:hanging="360"/>
      </w:pPr>
      <w:rPr>
        <w:rFonts w:ascii="Symbol" w:hAnsi="Symbol" w:hint="default"/>
      </w:rPr>
    </w:lvl>
    <w:lvl w:ilvl="4" w:tplc="158E516A" w:tentative="1">
      <w:start w:val="1"/>
      <w:numFmt w:val="bullet"/>
      <w:lvlText w:val="o"/>
      <w:lvlJc w:val="left"/>
      <w:pPr>
        <w:ind w:left="3600" w:hanging="360"/>
      </w:pPr>
      <w:rPr>
        <w:rFonts w:ascii="Courier New" w:hAnsi="Courier New" w:cs="Courier New" w:hint="default"/>
      </w:rPr>
    </w:lvl>
    <w:lvl w:ilvl="5" w:tplc="A268E55A" w:tentative="1">
      <w:start w:val="1"/>
      <w:numFmt w:val="bullet"/>
      <w:lvlText w:val=""/>
      <w:lvlJc w:val="left"/>
      <w:pPr>
        <w:ind w:left="4320" w:hanging="360"/>
      </w:pPr>
      <w:rPr>
        <w:rFonts w:ascii="Wingdings" w:hAnsi="Wingdings" w:hint="default"/>
      </w:rPr>
    </w:lvl>
    <w:lvl w:ilvl="6" w:tplc="5A0A8B8E" w:tentative="1">
      <w:start w:val="1"/>
      <w:numFmt w:val="bullet"/>
      <w:lvlText w:val=""/>
      <w:lvlJc w:val="left"/>
      <w:pPr>
        <w:ind w:left="5040" w:hanging="360"/>
      </w:pPr>
      <w:rPr>
        <w:rFonts w:ascii="Symbol" w:hAnsi="Symbol" w:hint="default"/>
      </w:rPr>
    </w:lvl>
    <w:lvl w:ilvl="7" w:tplc="48E63278" w:tentative="1">
      <w:start w:val="1"/>
      <w:numFmt w:val="bullet"/>
      <w:lvlText w:val="o"/>
      <w:lvlJc w:val="left"/>
      <w:pPr>
        <w:ind w:left="5760" w:hanging="360"/>
      </w:pPr>
      <w:rPr>
        <w:rFonts w:ascii="Courier New" w:hAnsi="Courier New" w:cs="Courier New" w:hint="default"/>
      </w:rPr>
    </w:lvl>
    <w:lvl w:ilvl="8" w:tplc="AD725A2C" w:tentative="1">
      <w:start w:val="1"/>
      <w:numFmt w:val="bullet"/>
      <w:lvlText w:val=""/>
      <w:lvlJc w:val="left"/>
      <w:pPr>
        <w:ind w:left="6480" w:hanging="360"/>
      </w:pPr>
      <w:rPr>
        <w:rFonts w:ascii="Wingdings" w:hAnsi="Wingdings" w:hint="default"/>
      </w:rPr>
    </w:lvl>
  </w:abstractNum>
  <w:abstractNum w:abstractNumId="35" w15:restartNumberingAfterBreak="0">
    <w:nsid w:val="72D17A0D"/>
    <w:multiLevelType w:val="hybridMultilevel"/>
    <w:tmpl w:val="0E7CF460"/>
    <w:lvl w:ilvl="0" w:tplc="852696F8">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B1095"/>
    <w:multiLevelType w:val="hybridMultilevel"/>
    <w:tmpl w:val="AB928B14"/>
    <w:lvl w:ilvl="0" w:tplc="E3B65EC0">
      <w:start w:val="1"/>
      <w:numFmt w:val="decimal"/>
      <w:lvlText w:val="%1"/>
      <w:lvlJc w:val="left"/>
      <w:pPr>
        <w:tabs>
          <w:tab w:val="num" w:pos="720"/>
        </w:tabs>
        <w:ind w:left="720" w:hanging="360"/>
      </w:pPr>
    </w:lvl>
    <w:lvl w:ilvl="1" w:tplc="54A80D24" w:tentative="1">
      <w:start w:val="1"/>
      <w:numFmt w:val="decimal"/>
      <w:lvlText w:val="%2"/>
      <w:lvlJc w:val="left"/>
      <w:pPr>
        <w:tabs>
          <w:tab w:val="num" w:pos="1440"/>
        </w:tabs>
        <w:ind w:left="1440" w:hanging="360"/>
      </w:pPr>
    </w:lvl>
    <w:lvl w:ilvl="2" w:tplc="6FD01FFC" w:tentative="1">
      <w:start w:val="1"/>
      <w:numFmt w:val="decimal"/>
      <w:lvlText w:val="%3"/>
      <w:lvlJc w:val="left"/>
      <w:pPr>
        <w:tabs>
          <w:tab w:val="num" w:pos="2160"/>
        </w:tabs>
        <w:ind w:left="2160" w:hanging="360"/>
      </w:pPr>
    </w:lvl>
    <w:lvl w:ilvl="3" w:tplc="7E18F616" w:tentative="1">
      <w:start w:val="1"/>
      <w:numFmt w:val="decimal"/>
      <w:lvlText w:val="%4"/>
      <w:lvlJc w:val="left"/>
      <w:pPr>
        <w:tabs>
          <w:tab w:val="num" w:pos="2880"/>
        </w:tabs>
        <w:ind w:left="2880" w:hanging="360"/>
      </w:pPr>
    </w:lvl>
    <w:lvl w:ilvl="4" w:tplc="2DBAC308" w:tentative="1">
      <w:start w:val="1"/>
      <w:numFmt w:val="decimal"/>
      <w:lvlText w:val="%5"/>
      <w:lvlJc w:val="left"/>
      <w:pPr>
        <w:tabs>
          <w:tab w:val="num" w:pos="3600"/>
        </w:tabs>
        <w:ind w:left="3600" w:hanging="360"/>
      </w:pPr>
    </w:lvl>
    <w:lvl w:ilvl="5" w:tplc="B3124DC4" w:tentative="1">
      <w:start w:val="1"/>
      <w:numFmt w:val="decimal"/>
      <w:lvlText w:val="%6"/>
      <w:lvlJc w:val="left"/>
      <w:pPr>
        <w:tabs>
          <w:tab w:val="num" w:pos="4320"/>
        </w:tabs>
        <w:ind w:left="4320" w:hanging="360"/>
      </w:pPr>
    </w:lvl>
    <w:lvl w:ilvl="6" w:tplc="E766BC02" w:tentative="1">
      <w:start w:val="1"/>
      <w:numFmt w:val="decimal"/>
      <w:lvlText w:val="%7"/>
      <w:lvlJc w:val="left"/>
      <w:pPr>
        <w:tabs>
          <w:tab w:val="num" w:pos="5040"/>
        </w:tabs>
        <w:ind w:left="5040" w:hanging="360"/>
      </w:pPr>
    </w:lvl>
    <w:lvl w:ilvl="7" w:tplc="39EA4514" w:tentative="1">
      <w:start w:val="1"/>
      <w:numFmt w:val="decimal"/>
      <w:lvlText w:val="%8"/>
      <w:lvlJc w:val="left"/>
      <w:pPr>
        <w:tabs>
          <w:tab w:val="num" w:pos="5760"/>
        </w:tabs>
        <w:ind w:left="5760" w:hanging="360"/>
      </w:pPr>
    </w:lvl>
    <w:lvl w:ilvl="8" w:tplc="A6882138" w:tentative="1">
      <w:start w:val="1"/>
      <w:numFmt w:val="decimal"/>
      <w:lvlText w:val="%9"/>
      <w:lvlJc w:val="left"/>
      <w:pPr>
        <w:tabs>
          <w:tab w:val="num" w:pos="6480"/>
        </w:tabs>
        <w:ind w:left="6480" w:hanging="360"/>
      </w:pPr>
    </w:lvl>
  </w:abstractNum>
  <w:abstractNum w:abstractNumId="37" w15:restartNumberingAfterBreak="0">
    <w:nsid w:val="7AEE440E"/>
    <w:multiLevelType w:val="hybridMultilevel"/>
    <w:tmpl w:val="0F2671D4"/>
    <w:lvl w:ilvl="0" w:tplc="225EDC34">
      <w:start w:val="1"/>
      <w:numFmt w:val="bullet"/>
      <w:lvlText w:val=""/>
      <w:lvlJc w:val="left"/>
      <w:pPr>
        <w:ind w:left="720" w:hanging="360"/>
      </w:pPr>
      <w:rPr>
        <w:rFonts w:ascii="Symbol" w:hAnsi="Symbol" w:hint="default"/>
      </w:rPr>
    </w:lvl>
    <w:lvl w:ilvl="1" w:tplc="38744BA8" w:tentative="1">
      <w:start w:val="1"/>
      <w:numFmt w:val="bullet"/>
      <w:lvlText w:val="o"/>
      <w:lvlJc w:val="left"/>
      <w:pPr>
        <w:ind w:left="1440" w:hanging="360"/>
      </w:pPr>
      <w:rPr>
        <w:rFonts w:ascii="Courier New" w:hAnsi="Courier New" w:cs="Courier New" w:hint="default"/>
      </w:rPr>
    </w:lvl>
    <w:lvl w:ilvl="2" w:tplc="DEFCE298" w:tentative="1">
      <w:start w:val="1"/>
      <w:numFmt w:val="bullet"/>
      <w:lvlText w:val=""/>
      <w:lvlJc w:val="left"/>
      <w:pPr>
        <w:ind w:left="2160" w:hanging="360"/>
      </w:pPr>
      <w:rPr>
        <w:rFonts w:ascii="Wingdings" w:hAnsi="Wingdings" w:hint="default"/>
      </w:rPr>
    </w:lvl>
    <w:lvl w:ilvl="3" w:tplc="86E225E6" w:tentative="1">
      <w:start w:val="1"/>
      <w:numFmt w:val="bullet"/>
      <w:lvlText w:val=""/>
      <w:lvlJc w:val="left"/>
      <w:pPr>
        <w:ind w:left="2880" w:hanging="360"/>
      </w:pPr>
      <w:rPr>
        <w:rFonts w:ascii="Symbol" w:hAnsi="Symbol" w:hint="default"/>
      </w:rPr>
    </w:lvl>
    <w:lvl w:ilvl="4" w:tplc="6442B0E2" w:tentative="1">
      <w:start w:val="1"/>
      <w:numFmt w:val="bullet"/>
      <w:lvlText w:val="o"/>
      <w:lvlJc w:val="left"/>
      <w:pPr>
        <w:ind w:left="3600" w:hanging="360"/>
      </w:pPr>
      <w:rPr>
        <w:rFonts w:ascii="Courier New" w:hAnsi="Courier New" w:cs="Courier New" w:hint="default"/>
      </w:rPr>
    </w:lvl>
    <w:lvl w:ilvl="5" w:tplc="580899DC" w:tentative="1">
      <w:start w:val="1"/>
      <w:numFmt w:val="bullet"/>
      <w:lvlText w:val=""/>
      <w:lvlJc w:val="left"/>
      <w:pPr>
        <w:ind w:left="4320" w:hanging="360"/>
      </w:pPr>
      <w:rPr>
        <w:rFonts w:ascii="Wingdings" w:hAnsi="Wingdings" w:hint="default"/>
      </w:rPr>
    </w:lvl>
    <w:lvl w:ilvl="6" w:tplc="11FA01BA" w:tentative="1">
      <w:start w:val="1"/>
      <w:numFmt w:val="bullet"/>
      <w:lvlText w:val=""/>
      <w:lvlJc w:val="left"/>
      <w:pPr>
        <w:ind w:left="5040" w:hanging="360"/>
      </w:pPr>
      <w:rPr>
        <w:rFonts w:ascii="Symbol" w:hAnsi="Symbol" w:hint="default"/>
      </w:rPr>
    </w:lvl>
    <w:lvl w:ilvl="7" w:tplc="80C4567C" w:tentative="1">
      <w:start w:val="1"/>
      <w:numFmt w:val="bullet"/>
      <w:lvlText w:val="o"/>
      <w:lvlJc w:val="left"/>
      <w:pPr>
        <w:ind w:left="5760" w:hanging="360"/>
      </w:pPr>
      <w:rPr>
        <w:rFonts w:ascii="Courier New" w:hAnsi="Courier New" w:cs="Courier New" w:hint="default"/>
      </w:rPr>
    </w:lvl>
    <w:lvl w:ilvl="8" w:tplc="3556A20A" w:tentative="1">
      <w:start w:val="1"/>
      <w:numFmt w:val="bullet"/>
      <w:lvlText w:val=""/>
      <w:lvlJc w:val="left"/>
      <w:pPr>
        <w:ind w:left="6480" w:hanging="360"/>
      </w:pPr>
      <w:rPr>
        <w:rFonts w:ascii="Wingdings" w:hAnsi="Wingdings" w:hint="default"/>
      </w:rPr>
    </w:lvl>
  </w:abstractNum>
  <w:abstractNum w:abstractNumId="38" w15:restartNumberingAfterBreak="0">
    <w:nsid w:val="7B8A3481"/>
    <w:multiLevelType w:val="hybridMultilevel"/>
    <w:tmpl w:val="57B64F62"/>
    <w:lvl w:ilvl="0" w:tplc="6AFE0464">
      <w:start w:val="1"/>
      <w:numFmt w:val="bullet"/>
      <w:lvlText w:val=""/>
      <w:lvlJc w:val="left"/>
      <w:pPr>
        <w:ind w:left="720" w:hanging="360"/>
      </w:pPr>
      <w:rPr>
        <w:rFonts w:ascii="Symbol" w:hAnsi="Symbol" w:hint="default"/>
      </w:rPr>
    </w:lvl>
    <w:lvl w:ilvl="1" w:tplc="BEBCD92A" w:tentative="1">
      <w:start w:val="1"/>
      <w:numFmt w:val="bullet"/>
      <w:lvlText w:val="o"/>
      <w:lvlJc w:val="left"/>
      <w:pPr>
        <w:ind w:left="1440" w:hanging="360"/>
      </w:pPr>
      <w:rPr>
        <w:rFonts w:ascii="Courier New" w:hAnsi="Courier New" w:cs="Courier New" w:hint="default"/>
      </w:rPr>
    </w:lvl>
    <w:lvl w:ilvl="2" w:tplc="D3609634" w:tentative="1">
      <w:start w:val="1"/>
      <w:numFmt w:val="bullet"/>
      <w:lvlText w:val=""/>
      <w:lvlJc w:val="left"/>
      <w:pPr>
        <w:ind w:left="2160" w:hanging="360"/>
      </w:pPr>
      <w:rPr>
        <w:rFonts w:ascii="Wingdings" w:hAnsi="Wingdings" w:hint="default"/>
      </w:rPr>
    </w:lvl>
    <w:lvl w:ilvl="3" w:tplc="BC14EEF0" w:tentative="1">
      <w:start w:val="1"/>
      <w:numFmt w:val="bullet"/>
      <w:lvlText w:val=""/>
      <w:lvlJc w:val="left"/>
      <w:pPr>
        <w:ind w:left="2880" w:hanging="360"/>
      </w:pPr>
      <w:rPr>
        <w:rFonts w:ascii="Symbol" w:hAnsi="Symbol" w:hint="default"/>
      </w:rPr>
    </w:lvl>
    <w:lvl w:ilvl="4" w:tplc="008C3ED2" w:tentative="1">
      <w:start w:val="1"/>
      <w:numFmt w:val="bullet"/>
      <w:lvlText w:val="o"/>
      <w:lvlJc w:val="left"/>
      <w:pPr>
        <w:ind w:left="3600" w:hanging="360"/>
      </w:pPr>
      <w:rPr>
        <w:rFonts w:ascii="Courier New" w:hAnsi="Courier New" w:cs="Courier New" w:hint="default"/>
      </w:rPr>
    </w:lvl>
    <w:lvl w:ilvl="5" w:tplc="58726122" w:tentative="1">
      <w:start w:val="1"/>
      <w:numFmt w:val="bullet"/>
      <w:lvlText w:val=""/>
      <w:lvlJc w:val="left"/>
      <w:pPr>
        <w:ind w:left="4320" w:hanging="360"/>
      </w:pPr>
      <w:rPr>
        <w:rFonts w:ascii="Wingdings" w:hAnsi="Wingdings" w:hint="default"/>
      </w:rPr>
    </w:lvl>
    <w:lvl w:ilvl="6" w:tplc="BE08E04A" w:tentative="1">
      <w:start w:val="1"/>
      <w:numFmt w:val="bullet"/>
      <w:lvlText w:val=""/>
      <w:lvlJc w:val="left"/>
      <w:pPr>
        <w:ind w:left="5040" w:hanging="360"/>
      </w:pPr>
      <w:rPr>
        <w:rFonts w:ascii="Symbol" w:hAnsi="Symbol" w:hint="default"/>
      </w:rPr>
    </w:lvl>
    <w:lvl w:ilvl="7" w:tplc="3A96E896" w:tentative="1">
      <w:start w:val="1"/>
      <w:numFmt w:val="bullet"/>
      <w:lvlText w:val="o"/>
      <w:lvlJc w:val="left"/>
      <w:pPr>
        <w:ind w:left="5760" w:hanging="360"/>
      </w:pPr>
      <w:rPr>
        <w:rFonts w:ascii="Courier New" w:hAnsi="Courier New" w:cs="Courier New" w:hint="default"/>
      </w:rPr>
    </w:lvl>
    <w:lvl w:ilvl="8" w:tplc="7C703B40" w:tentative="1">
      <w:start w:val="1"/>
      <w:numFmt w:val="bullet"/>
      <w:lvlText w:val=""/>
      <w:lvlJc w:val="left"/>
      <w:pPr>
        <w:ind w:left="6480" w:hanging="360"/>
      </w:pPr>
      <w:rPr>
        <w:rFonts w:ascii="Wingdings" w:hAnsi="Wingdings" w:hint="default"/>
      </w:rPr>
    </w:lvl>
  </w:abstractNum>
  <w:abstractNum w:abstractNumId="39" w15:restartNumberingAfterBreak="0">
    <w:nsid w:val="7D4811F6"/>
    <w:multiLevelType w:val="hybridMultilevel"/>
    <w:tmpl w:val="1D28D1FE"/>
    <w:lvl w:ilvl="0" w:tplc="7E38A14E">
      <w:numFmt w:val="bullet"/>
      <w:lvlText w:val="-"/>
      <w:lvlJc w:val="left"/>
      <w:pPr>
        <w:ind w:left="720" w:hanging="360"/>
      </w:pPr>
      <w:rPr>
        <w:rFonts w:ascii="Arial Narrow" w:eastAsia="MS Mincho"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BE2181"/>
    <w:multiLevelType w:val="hybridMultilevel"/>
    <w:tmpl w:val="44A25960"/>
    <w:lvl w:ilvl="0" w:tplc="1E8C36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8718B"/>
    <w:multiLevelType w:val="hybridMultilevel"/>
    <w:tmpl w:val="1E82B0D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4"/>
  </w:num>
  <w:num w:numId="3">
    <w:abstractNumId w:val="38"/>
  </w:num>
  <w:num w:numId="4">
    <w:abstractNumId w:val="31"/>
  </w:num>
  <w:num w:numId="5">
    <w:abstractNumId w:val="10"/>
  </w:num>
  <w:num w:numId="6">
    <w:abstractNumId w:val="1"/>
  </w:num>
  <w:num w:numId="7">
    <w:abstractNumId w:val="1"/>
  </w:num>
  <w:num w:numId="8">
    <w:abstractNumId w:val="37"/>
  </w:num>
  <w:num w:numId="9">
    <w:abstractNumId w:val="34"/>
  </w:num>
  <w:num w:numId="10">
    <w:abstractNumId w:val="13"/>
  </w:num>
  <w:num w:numId="11">
    <w:abstractNumId w:val="38"/>
  </w:num>
  <w:num w:numId="12">
    <w:abstractNumId w:val="4"/>
  </w:num>
  <w:num w:numId="13">
    <w:abstractNumId w:val="7"/>
  </w:num>
  <w:num w:numId="14">
    <w:abstractNumId w:val="12"/>
  </w:num>
  <w:num w:numId="15">
    <w:abstractNumId w:val="20"/>
  </w:num>
  <w:num w:numId="16">
    <w:abstractNumId w:val="6"/>
  </w:num>
  <w:num w:numId="17">
    <w:abstractNumId w:val="35"/>
  </w:num>
  <w:num w:numId="18">
    <w:abstractNumId w:val="18"/>
  </w:num>
  <w:num w:numId="19">
    <w:abstractNumId w:val="11"/>
  </w:num>
  <w:num w:numId="20">
    <w:abstractNumId w:val="16"/>
  </w:num>
  <w:num w:numId="21">
    <w:abstractNumId w:val="41"/>
  </w:num>
  <w:num w:numId="22">
    <w:abstractNumId w:val="14"/>
  </w:num>
  <w:num w:numId="23">
    <w:abstractNumId w:val="32"/>
  </w:num>
  <w:num w:numId="24">
    <w:abstractNumId w:val="40"/>
  </w:num>
  <w:num w:numId="25">
    <w:abstractNumId w:val="29"/>
  </w:num>
  <w:num w:numId="26">
    <w:abstractNumId w:val="39"/>
  </w:num>
  <w:num w:numId="27">
    <w:abstractNumId w:val="9"/>
  </w:num>
  <w:num w:numId="28">
    <w:abstractNumId w:val="33"/>
  </w:num>
  <w:num w:numId="29">
    <w:abstractNumId w:val="30"/>
  </w:num>
  <w:num w:numId="30">
    <w:abstractNumId w:val="8"/>
  </w:num>
  <w:num w:numId="31">
    <w:abstractNumId w:val="23"/>
  </w:num>
  <w:num w:numId="32">
    <w:abstractNumId w:val="27"/>
  </w:num>
  <w:num w:numId="33">
    <w:abstractNumId w:val="36"/>
  </w:num>
  <w:num w:numId="34">
    <w:abstractNumId w:val="5"/>
  </w:num>
  <w:num w:numId="35">
    <w:abstractNumId w:val="15"/>
  </w:num>
  <w:num w:numId="36">
    <w:abstractNumId w:val="21"/>
  </w:num>
  <w:num w:numId="37">
    <w:abstractNumId w:val="22"/>
  </w:num>
  <w:num w:numId="38">
    <w:abstractNumId w:val="28"/>
  </w:num>
  <w:num w:numId="39">
    <w:abstractNumId w:val="3"/>
  </w:num>
  <w:num w:numId="40">
    <w:abstractNumId w:val="17"/>
  </w:num>
  <w:num w:numId="41">
    <w:abstractNumId w:val="26"/>
  </w:num>
  <w:num w:numId="42">
    <w:abstractNumId w:val="25"/>
  </w:num>
  <w:num w:numId="43">
    <w:abstractNumId w:val="1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s-PE" w:vendorID="64" w:dllVersion="131078" w:nlCheck="1" w:checkStyle="1"/>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AR" w:vendorID="64" w:dllVersion="131078" w:nlCheck="1" w:checkStyle="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FD54F1"/>
    <w:rsid w:val="00003E5E"/>
    <w:rsid w:val="0000439E"/>
    <w:rsid w:val="000049A4"/>
    <w:rsid w:val="00005109"/>
    <w:rsid w:val="000070CF"/>
    <w:rsid w:val="0000775C"/>
    <w:rsid w:val="00011D29"/>
    <w:rsid w:val="00013523"/>
    <w:rsid w:val="00014874"/>
    <w:rsid w:val="00021B5E"/>
    <w:rsid w:val="000223E4"/>
    <w:rsid w:val="00024C39"/>
    <w:rsid w:val="00024F5A"/>
    <w:rsid w:val="00030CC4"/>
    <w:rsid w:val="00030E82"/>
    <w:rsid w:val="00032406"/>
    <w:rsid w:val="00032E78"/>
    <w:rsid w:val="000343EF"/>
    <w:rsid w:val="0003556A"/>
    <w:rsid w:val="00035FD5"/>
    <w:rsid w:val="00037548"/>
    <w:rsid w:val="00040B21"/>
    <w:rsid w:val="000437B7"/>
    <w:rsid w:val="00043E8F"/>
    <w:rsid w:val="00044B50"/>
    <w:rsid w:val="000460E7"/>
    <w:rsid w:val="00046AB5"/>
    <w:rsid w:val="00047C08"/>
    <w:rsid w:val="00050A02"/>
    <w:rsid w:val="00051B7C"/>
    <w:rsid w:val="00055732"/>
    <w:rsid w:val="00056D69"/>
    <w:rsid w:val="00056F64"/>
    <w:rsid w:val="00066AAC"/>
    <w:rsid w:val="0006754D"/>
    <w:rsid w:val="000702EA"/>
    <w:rsid w:val="00072D07"/>
    <w:rsid w:val="000732F1"/>
    <w:rsid w:val="00073EB6"/>
    <w:rsid w:val="00074E36"/>
    <w:rsid w:val="00074F84"/>
    <w:rsid w:val="00075A75"/>
    <w:rsid w:val="00075BF0"/>
    <w:rsid w:val="00077B4D"/>
    <w:rsid w:val="000805F5"/>
    <w:rsid w:val="0008074E"/>
    <w:rsid w:val="00081481"/>
    <w:rsid w:val="00082E63"/>
    <w:rsid w:val="00083B12"/>
    <w:rsid w:val="00084C27"/>
    <w:rsid w:val="000866BA"/>
    <w:rsid w:val="00087F9E"/>
    <w:rsid w:val="000936B6"/>
    <w:rsid w:val="00096277"/>
    <w:rsid w:val="00096C20"/>
    <w:rsid w:val="00096CF4"/>
    <w:rsid w:val="00096F42"/>
    <w:rsid w:val="00097B35"/>
    <w:rsid w:val="000A1065"/>
    <w:rsid w:val="000A17B9"/>
    <w:rsid w:val="000A1B81"/>
    <w:rsid w:val="000A30B0"/>
    <w:rsid w:val="000A40AF"/>
    <w:rsid w:val="000A71A1"/>
    <w:rsid w:val="000A7475"/>
    <w:rsid w:val="000B0635"/>
    <w:rsid w:val="000B0802"/>
    <w:rsid w:val="000B1DA6"/>
    <w:rsid w:val="000B5D6D"/>
    <w:rsid w:val="000C2529"/>
    <w:rsid w:val="000C2550"/>
    <w:rsid w:val="000C3819"/>
    <w:rsid w:val="000C48DA"/>
    <w:rsid w:val="000C5C75"/>
    <w:rsid w:val="000C73E3"/>
    <w:rsid w:val="000D24C9"/>
    <w:rsid w:val="000D2B0F"/>
    <w:rsid w:val="000D464F"/>
    <w:rsid w:val="000D7359"/>
    <w:rsid w:val="000E07CD"/>
    <w:rsid w:val="000E094D"/>
    <w:rsid w:val="000E1663"/>
    <w:rsid w:val="000E1FFF"/>
    <w:rsid w:val="000E3C92"/>
    <w:rsid w:val="000E450A"/>
    <w:rsid w:val="000E518B"/>
    <w:rsid w:val="000E5569"/>
    <w:rsid w:val="000F04C4"/>
    <w:rsid w:val="000F0E74"/>
    <w:rsid w:val="000F2DFF"/>
    <w:rsid w:val="000F395B"/>
    <w:rsid w:val="000F39FD"/>
    <w:rsid w:val="000F425F"/>
    <w:rsid w:val="000F46A4"/>
    <w:rsid w:val="000F6598"/>
    <w:rsid w:val="000F76B0"/>
    <w:rsid w:val="000F76E7"/>
    <w:rsid w:val="0010119B"/>
    <w:rsid w:val="00101BEA"/>
    <w:rsid w:val="00102544"/>
    <w:rsid w:val="0010524E"/>
    <w:rsid w:val="0010554E"/>
    <w:rsid w:val="001101B3"/>
    <w:rsid w:val="0011457B"/>
    <w:rsid w:val="00116725"/>
    <w:rsid w:val="00116EE2"/>
    <w:rsid w:val="001177DB"/>
    <w:rsid w:val="00122312"/>
    <w:rsid w:val="0012232B"/>
    <w:rsid w:val="00124925"/>
    <w:rsid w:val="00124A3A"/>
    <w:rsid w:val="00125AC0"/>
    <w:rsid w:val="001266A9"/>
    <w:rsid w:val="001270B8"/>
    <w:rsid w:val="00130989"/>
    <w:rsid w:val="00132531"/>
    <w:rsid w:val="0013537C"/>
    <w:rsid w:val="00145140"/>
    <w:rsid w:val="00152414"/>
    <w:rsid w:val="00152F0E"/>
    <w:rsid w:val="00153BCF"/>
    <w:rsid w:val="001543D5"/>
    <w:rsid w:val="00154BD4"/>
    <w:rsid w:val="00160220"/>
    <w:rsid w:val="00165E62"/>
    <w:rsid w:val="00167D04"/>
    <w:rsid w:val="00170445"/>
    <w:rsid w:val="00172037"/>
    <w:rsid w:val="00173938"/>
    <w:rsid w:val="00173D45"/>
    <w:rsid w:val="00174187"/>
    <w:rsid w:val="00174F31"/>
    <w:rsid w:val="00175E0E"/>
    <w:rsid w:val="00175E33"/>
    <w:rsid w:val="001762A5"/>
    <w:rsid w:val="00177A84"/>
    <w:rsid w:val="00185250"/>
    <w:rsid w:val="001864BD"/>
    <w:rsid w:val="001872FB"/>
    <w:rsid w:val="001956E1"/>
    <w:rsid w:val="00195988"/>
    <w:rsid w:val="001960F4"/>
    <w:rsid w:val="001A182A"/>
    <w:rsid w:val="001A292C"/>
    <w:rsid w:val="001A2C7F"/>
    <w:rsid w:val="001A305B"/>
    <w:rsid w:val="001A31C4"/>
    <w:rsid w:val="001A337A"/>
    <w:rsid w:val="001A61CE"/>
    <w:rsid w:val="001A7D95"/>
    <w:rsid w:val="001B6BDD"/>
    <w:rsid w:val="001B7B77"/>
    <w:rsid w:val="001B7D37"/>
    <w:rsid w:val="001B7FB2"/>
    <w:rsid w:val="001C1FE2"/>
    <w:rsid w:val="001C2188"/>
    <w:rsid w:val="001C2669"/>
    <w:rsid w:val="001D1F53"/>
    <w:rsid w:val="001D7E5F"/>
    <w:rsid w:val="001E0665"/>
    <w:rsid w:val="001E06B3"/>
    <w:rsid w:val="001E09C9"/>
    <w:rsid w:val="001E25D3"/>
    <w:rsid w:val="001E2D39"/>
    <w:rsid w:val="001E37EC"/>
    <w:rsid w:val="001E3E67"/>
    <w:rsid w:val="001E5E4F"/>
    <w:rsid w:val="001E60C7"/>
    <w:rsid w:val="001E6387"/>
    <w:rsid w:val="001E66DD"/>
    <w:rsid w:val="001E765B"/>
    <w:rsid w:val="001E7672"/>
    <w:rsid w:val="001F2ABA"/>
    <w:rsid w:val="001F49FD"/>
    <w:rsid w:val="001F6D69"/>
    <w:rsid w:val="00200A04"/>
    <w:rsid w:val="00200F28"/>
    <w:rsid w:val="0020350B"/>
    <w:rsid w:val="0021013F"/>
    <w:rsid w:val="002120C7"/>
    <w:rsid w:val="0021385F"/>
    <w:rsid w:val="0021393B"/>
    <w:rsid w:val="00215AE6"/>
    <w:rsid w:val="0021716C"/>
    <w:rsid w:val="00217551"/>
    <w:rsid w:val="0022092C"/>
    <w:rsid w:val="00220D57"/>
    <w:rsid w:val="002213E1"/>
    <w:rsid w:val="00221CF1"/>
    <w:rsid w:val="002237F6"/>
    <w:rsid w:val="00224541"/>
    <w:rsid w:val="002268F9"/>
    <w:rsid w:val="00226E0F"/>
    <w:rsid w:val="002275D6"/>
    <w:rsid w:val="002321AB"/>
    <w:rsid w:val="00234440"/>
    <w:rsid w:val="00244770"/>
    <w:rsid w:val="002477ED"/>
    <w:rsid w:val="002508BF"/>
    <w:rsid w:val="002520D2"/>
    <w:rsid w:val="00253365"/>
    <w:rsid w:val="002536EA"/>
    <w:rsid w:val="0025389E"/>
    <w:rsid w:val="002543DF"/>
    <w:rsid w:val="00260ABC"/>
    <w:rsid w:val="00261467"/>
    <w:rsid w:val="002664D8"/>
    <w:rsid w:val="00267B67"/>
    <w:rsid w:val="0027040B"/>
    <w:rsid w:val="00270647"/>
    <w:rsid w:val="00270ECF"/>
    <w:rsid w:val="00272B4A"/>
    <w:rsid w:val="00273AC9"/>
    <w:rsid w:val="00274134"/>
    <w:rsid w:val="002767FD"/>
    <w:rsid w:val="002777A1"/>
    <w:rsid w:val="00280623"/>
    <w:rsid w:val="002808E4"/>
    <w:rsid w:val="002810F9"/>
    <w:rsid w:val="0028295C"/>
    <w:rsid w:val="002839BD"/>
    <w:rsid w:val="002849A3"/>
    <w:rsid w:val="00286220"/>
    <w:rsid w:val="00290C72"/>
    <w:rsid w:val="00290D71"/>
    <w:rsid w:val="002913F3"/>
    <w:rsid w:val="002933BC"/>
    <w:rsid w:val="0029553D"/>
    <w:rsid w:val="002959EF"/>
    <w:rsid w:val="002A1F50"/>
    <w:rsid w:val="002A1FC6"/>
    <w:rsid w:val="002A2644"/>
    <w:rsid w:val="002A5057"/>
    <w:rsid w:val="002B0087"/>
    <w:rsid w:val="002B136B"/>
    <w:rsid w:val="002B31A5"/>
    <w:rsid w:val="002B4834"/>
    <w:rsid w:val="002B6246"/>
    <w:rsid w:val="002B6FD0"/>
    <w:rsid w:val="002C23EA"/>
    <w:rsid w:val="002C3959"/>
    <w:rsid w:val="002C3DCB"/>
    <w:rsid w:val="002C3F4A"/>
    <w:rsid w:val="002C4293"/>
    <w:rsid w:val="002C7AFE"/>
    <w:rsid w:val="002D16EC"/>
    <w:rsid w:val="002D260E"/>
    <w:rsid w:val="002D29A1"/>
    <w:rsid w:val="002D3ADD"/>
    <w:rsid w:val="002D76D2"/>
    <w:rsid w:val="002D7E6F"/>
    <w:rsid w:val="002E2EBE"/>
    <w:rsid w:val="002E3793"/>
    <w:rsid w:val="002E5462"/>
    <w:rsid w:val="002E5EDF"/>
    <w:rsid w:val="002E60A8"/>
    <w:rsid w:val="002E7AD0"/>
    <w:rsid w:val="002F0BF5"/>
    <w:rsid w:val="002F2024"/>
    <w:rsid w:val="002F404D"/>
    <w:rsid w:val="002F7391"/>
    <w:rsid w:val="002F7518"/>
    <w:rsid w:val="002F7A4E"/>
    <w:rsid w:val="003014DF"/>
    <w:rsid w:val="00301877"/>
    <w:rsid w:val="0030224C"/>
    <w:rsid w:val="00303A3E"/>
    <w:rsid w:val="00303C26"/>
    <w:rsid w:val="00304148"/>
    <w:rsid w:val="00306402"/>
    <w:rsid w:val="0030666E"/>
    <w:rsid w:val="00311DBD"/>
    <w:rsid w:val="00312958"/>
    <w:rsid w:val="00312A2A"/>
    <w:rsid w:val="003167F3"/>
    <w:rsid w:val="0031714F"/>
    <w:rsid w:val="00317DB3"/>
    <w:rsid w:val="00317E84"/>
    <w:rsid w:val="00323172"/>
    <w:rsid w:val="00324EC6"/>
    <w:rsid w:val="0032736F"/>
    <w:rsid w:val="00332101"/>
    <w:rsid w:val="003338B3"/>
    <w:rsid w:val="00334D4F"/>
    <w:rsid w:val="00334DF6"/>
    <w:rsid w:val="00335191"/>
    <w:rsid w:val="00335198"/>
    <w:rsid w:val="00335C08"/>
    <w:rsid w:val="003376AB"/>
    <w:rsid w:val="003416A4"/>
    <w:rsid w:val="003424C9"/>
    <w:rsid w:val="0034317C"/>
    <w:rsid w:val="00344720"/>
    <w:rsid w:val="00344758"/>
    <w:rsid w:val="003456F0"/>
    <w:rsid w:val="0034695B"/>
    <w:rsid w:val="00346E7D"/>
    <w:rsid w:val="003470E3"/>
    <w:rsid w:val="00347459"/>
    <w:rsid w:val="003523B4"/>
    <w:rsid w:val="00352921"/>
    <w:rsid w:val="003532EB"/>
    <w:rsid w:val="003550B2"/>
    <w:rsid w:val="00355367"/>
    <w:rsid w:val="0035566B"/>
    <w:rsid w:val="00356CA3"/>
    <w:rsid w:val="0035727F"/>
    <w:rsid w:val="00360EB7"/>
    <w:rsid w:val="00361BA1"/>
    <w:rsid w:val="00362B95"/>
    <w:rsid w:val="00362BBC"/>
    <w:rsid w:val="00363995"/>
    <w:rsid w:val="003645D5"/>
    <w:rsid w:val="00364D24"/>
    <w:rsid w:val="00367817"/>
    <w:rsid w:val="003702AB"/>
    <w:rsid w:val="00371CAD"/>
    <w:rsid w:val="0037306C"/>
    <w:rsid w:val="003755FA"/>
    <w:rsid w:val="00376683"/>
    <w:rsid w:val="00376EE6"/>
    <w:rsid w:val="003831A7"/>
    <w:rsid w:val="00383ACF"/>
    <w:rsid w:val="00383CE2"/>
    <w:rsid w:val="00383F74"/>
    <w:rsid w:val="00385E25"/>
    <w:rsid w:val="0038638F"/>
    <w:rsid w:val="003905E8"/>
    <w:rsid w:val="00390B2B"/>
    <w:rsid w:val="003931BF"/>
    <w:rsid w:val="00394A38"/>
    <w:rsid w:val="003956DA"/>
    <w:rsid w:val="00396BD2"/>
    <w:rsid w:val="00396FE6"/>
    <w:rsid w:val="00397973"/>
    <w:rsid w:val="003A15D5"/>
    <w:rsid w:val="003A6565"/>
    <w:rsid w:val="003A6BC3"/>
    <w:rsid w:val="003A6BF3"/>
    <w:rsid w:val="003B0F02"/>
    <w:rsid w:val="003B2090"/>
    <w:rsid w:val="003B2647"/>
    <w:rsid w:val="003B2931"/>
    <w:rsid w:val="003B3DA1"/>
    <w:rsid w:val="003B5EDB"/>
    <w:rsid w:val="003C012B"/>
    <w:rsid w:val="003C2855"/>
    <w:rsid w:val="003C5626"/>
    <w:rsid w:val="003C57D8"/>
    <w:rsid w:val="003C6EDE"/>
    <w:rsid w:val="003D0FE0"/>
    <w:rsid w:val="003D1BA2"/>
    <w:rsid w:val="003D2B57"/>
    <w:rsid w:val="003D72AA"/>
    <w:rsid w:val="003E1028"/>
    <w:rsid w:val="003E11FF"/>
    <w:rsid w:val="003E130A"/>
    <w:rsid w:val="003E2810"/>
    <w:rsid w:val="003E5B2E"/>
    <w:rsid w:val="003E7765"/>
    <w:rsid w:val="003E7C09"/>
    <w:rsid w:val="003E7D58"/>
    <w:rsid w:val="003F0BC8"/>
    <w:rsid w:val="003F0EB9"/>
    <w:rsid w:val="003F1154"/>
    <w:rsid w:val="003F1655"/>
    <w:rsid w:val="003F1E21"/>
    <w:rsid w:val="003F3038"/>
    <w:rsid w:val="003F392C"/>
    <w:rsid w:val="003F4FF1"/>
    <w:rsid w:val="003F55F1"/>
    <w:rsid w:val="003F594C"/>
    <w:rsid w:val="003F6342"/>
    <w:rsid w:val="00400EB6"/>
    <w:rsid w:val="00401347"/>
    <w:rsid w:val="00401A4D"/>
    <w:rsid w:val="00401F27"/>
    <w:rsid w:val="004025B2"/>
    <w:rsid w:val="00403188"/>
    <w:rsid w:val="004066B0"/>
    <w:rsid w:val="00406CFB"/>
    <w:rsid w:val="00406F92"/>
    <w:rsid w:val="00411A95"/>
    <w:rsid w:val="0041359B"/>
    <w:rsid w:val="004166C7"/>
    <w:rsid w:val="004201F1"/>
    <w:rsid w:val="00420CAA"/>
    <w:rsid w:val="0042109A"/>
    <w:rsid w:val="00423369"/>
    <w:rsid w:val="00423868"/>
    <w:rsid w:val="004248CD"/>
    <w:rsid w:val="00424C8E"/>
    <w:rsid w:val="00425319"/>
    <w:rsid w:val="0042648D"/>
    <w:rsid w:val="00426F5F"/>
    <w:rsid w:val="00427404"/>
    <w:rsid w:val="004355E0"/>
    <w:rsid w:val="00437095"/>
    <w:rsid w:val="004379B0"/>
    <w:rsid w:val="00441827"/>
    <w:rsid w:val="00442374"/>
    <w:rsid w:val="00444770"/>
    <w:rsid w:val="004470EC"/>
    <w:rsid w:val="004506FA"/>
    <w:rsid w:val="00451840"/>
    <w:rsid w:val="00454223"/>
    <w:rsid w:val="004549A5"/>
    <w:rsid w:val="00455099"/>
    <w:rsid w:val="0045531C"/>
    <w:rsid w:val="00455329"/>
    <w:rsid w:val="00456737"/>
    <w:rsid w:val="004570E1"/>
    <w:rsid w:val="00461894"/>
    <w:rsid w:val="00462C59"/>
    <w:rsid w:val="00464294"/>
    <w:rsid w:val="0046784F"/>
    <w:rsid w:val="00467DC3"/>
    <w:rsid w:val="00470035"/>
    <w:rsid w:val="00471813"/>
    <w:rsid w:val="0047383C"/>
    <w:rsid w:val="00477357"/>
    <w:rsid w:val="004775E8"/>
    <w:rsid w:val="00481CF8"/>
    <w:rsid w:val="004820EC"/>
    <w:rsid w:val="00482F07"/>
    <w:rsid w:val="00483406"/>
    <w:rsid w:val="00491B88"/>
    <w:rsid w:val="004925B5"/>
    <w:rsid w:val="0049347A"/>
    <w:rsid w:val="004A10B2"/>
    <w:rsid w:val="004A1C18"/>
    <w:rsid w:val="004A69A1"/>
    <w:rsid w:val="004A72DA"/>
    <w:rsid w:val="004A75C5"/>
    <w:rsid w:val="004B0CC9"/>
    <w:rsid w:val="004B39D1"/>
    <w:rsid w:val="004B5DE6"/>
    <w:rsid w:val="004C1528"/>
    <w:rsid w:val="004C4A11"/>
    <w:rsid w:val="004C5446"/>
    <w:rsid w:val="004C74FC"/>
    <w:rsid w:val="004C75AD"/>
    <w:rsid w:val="004C7EC5"/>
    <w:rsid w:val="004D0C62"/>
    <w:rsid w:val="004D1AB0"/>
    <w:rsid w:val="004D1BDC"/>
    <w:rsid w:val="004D1E2E"/>
    <w:rsid w:val="004D6738"/>
    <w:rsid w:val="004D6C9A"/>
    <w:rsid w:val="004D7676"/>
    <w:rsid w:val="004D77AC"/>
    <w:rsid w:val="004E21F7"/>
    <w:rsid w:val="004E333C"/>
    <w:rsid w:val="004E5D70"/>
    <w:rsid w:val="004F0043"/>
    <w:rsid w:val="004F1C88"/>
    <w:rsid w:val="004F2524"/>
    <w:rsid w:val="004F2D48"/>
    <w:rsid w:val="004F3281"/>
    <w:rsid w:val="004F38BD"/>
    <w:rsid w:val="004F45BD"/>
    <w:rsid w:val="004F6098"/>
    <w:rsid w:val="004F69F8"/>
    <w:rsid w:val="004F7CDD"/>
    <w:rsid w:val="00501E9E"/>
    <w:rsid w:val="00503672"/>
    <w:rsid w:val="005047AB"/>
    <w:rsid w:val="00504C1D"/>
    <w:rsid w:val="00505C46"/>
    <w:rsid w:val="00507908"/>
    <w:rsid w:val="0051023E"/>
    <w:rsid w:val="005113B0"/>
    <w:rsid w:val="00512E7E"/>
    <w:rsid w:val="005138B6"/>
    <w:rsid w:val="00517458"/>
    <w:rsid w:val="0051773E"/>
    <w:rsid w:val="005215B4"/>
    <w:rsid w:val="00521EBC"/>
    <w:rsid w:val="0052366C"/>
    <w:rsid w:val="00525413"/>
    <w:rsid w:val="005257CB"/>
    <w:rsid w:val="00525E83"/>
    <w:rsid w:val="005264AC"/>
    <w:rsid w:val="00527015"/>
    <w:rsid w:val="00527427"/>
    <w:rsid w:val="0053085F"/>
    <w:rsid w:val="00531DC5"/>
    <w:rsid w:val="00534A16"/>
    <w:rsid w:val="00535452"/>
    <w:rsid w:val="00536948"/>
    <w:rsid w:val="005373F6"/>
    <w:rsid w:val="00544D5D"/>
    <w:rsid w:val="00546A1F"/>
    <w:rsid w:val="00552F38"/>
    <w:rsid w:val="00553E6C"/>
    <w:rsid w:val="00561871"/>
    <w:rsid w:val="00562A75"/>
    <w:rsid w:val="005656C3"/>
    <w:rsid w:val="00566087"/>
    <w:rsid w:val="00566636"/>
    <w:rsid w:val="0057067A"/>
    <w:rsid w:val="005711D3"/>
    <w:rsid w:val="00571FD7"/>
    <w:rsid w:val="00572C46"/>
    <w:rsid w:val="0057478C"/>
    <w:rsid w:val="00577053"/>
    <w:rsid w:val="00577085"/>
    <w:rsid w:val="0058169B"/>
    <w:rsid w:val="005839B3"/>
    <w:rsid w:val="00585F6C"/>
    <w:rsid w:val="0059016C"/>
    <w:rsid w:val="00590262"/>
    <w:rsid w:val="00592498"/>
    <w:rsid w:val="00592748"/>
    <w:rsid w:val="005945F9"/>
    <w:rsid w:val="00597D2F"/>
    <w:rsid w:val="005A0235"/>
    <w:rsid w:val="005A2BB5"/>
    <w:rsid w:val="005A3931"/>
    <w:rsid w:val="005A41D2"/>
    <w:rsid w:val="005A4B72"/>
    <w:rsid w:val="005A6F81"/>
    <w:rsid w:val="005A7FAE"/>
    <w:rsid w:val="005B05ED"/>
    <w:rsid w:val="005B064A"/>
    <w:rsid w:val="005B0840"/>
    <w:rsid w:val="005B1407"/>
    <w:rsid w:val="005B4407"/>
    <w:rsid w:val="005B49E0"/>
    <w:rsid w:val="005B5DBA"/>
    <w:rsid w:val="005B7851"/>
    <w:rsid w:val="005B7BE6"/>
    <w:rsid w:val="005C0F82"/>
    <w:rsid w:val="005C37EB"/>
    <w:rsid w:val="005C3C72"/>
    <w:rsid w:val="005C5776"/>
    <w:rsid w:val="005C705D"/>
    <w:rsid w:val="005E35FE"/>
    <w:rsid w:val="005E44D9"/>
    <w:rsid w:val="005E4CE2"/>
    <w:rsid w:val="005E720B"/>
    <w:rsid w:val="005F03D6"/>
    <w:rsid w:val="005F05F3"/>
    <w:rsid w:val="005F22C7"/>
    <w:rsid w:val="005F2D94"/>
    <w:rsid w:val="005F431A"/>
    <w:rsid w:val="005F55DE"/>
    <w:rsid w:val="00607802"/>
    <w:rsid w:val="00607ECB"/>
    <w:rsid w:val="00612171"/>
    <w:rsid w:val="006146BA"/>
    <w:rsid w:val="006151E4"/>
    <w:rsid w:val="00615282"/>
    <w:rsid w:val="00620666"/>
    <w:rsid w:val="006208FF"/>
    <w:rsid w:val="00621BF1"/>
    <w:rsid w:val="00622FA2"/>
    <w:rsid w:val="0062586D"/>
    <w:rsid w:val="0062594B"/>
    <w:rsid w:val="006267D4"/>
    <w:rsid w:val="0063013B"/>
    <w:rsid w:val="00631A11"/>
    <w:rsid w:val="00634BFD"/>
    <w:rsid w:val="0063556A"/>
    <w:rsid w:val="006378C9"/>
    <w:rsid w:val="00642767"/>
    <w:rsid w:val="00643216"/>
    <w:rsid w:val="00643F80"/>
    <w:rsid w:val="006462A4"/>
    <w:rsid w:val="00646F9A"/>
    <w:rsid w:val="00647990"/>
    <w:rsid w:val="00650E1B"/>
    <w:rsid w:val="006520ED"/>
    <w:rsid w:val="00655663"/>
    <w:rsid w:val="0066051C"/>
    <w:rsid w:val="00661349"/>
    <w:rsid w:val="006624AE"/>
    <w:rsid w:val="00667FD1"/>
    <w:rsid w:val="0067067A"/>
    <w:rsid w:val="00670AF4"/>
    <w:rsid w:val="00674298"/>
    <w:rsid w:val="00675E1B"/>
    <w:rsid w:val="006815AE"/>
    <w:rsid w:val="006815F4"/>
    <w:rsid w:val="00684867"/>
    <w:rsid w:val="006859F2"/>
    <w:rsid w:val="0068614F"/>
    <w:rsid w:val="00693D07"/>
    <w:rsid w:val="00693E0B"/>
    <w:rsid w:val="006943AF"/>
    <w:rsid w:val="00695D44"/>
    <w:rsid w:val="006A014D"/>
    <w:rsid w:val="006A1437"/>
    <w:rsid w:val="006A251E"/>
    <w:rsid w:val="006A493A"/>
    <w:rsid w:val="006A5591"/>
    <w:rsid w:val="006A6063"/>
    <w:rsid w:val="006A6E4C"/>
    <w:rsid w:val="006A761C"/>
    <w:rsid w:val="006B0582"/>
    <w:rsid w:val="006B0796"/>
    <w:rsid w:val="006B3884"/>
    <w:rsid w:val="006B4E3B"/>
    <w:rsid w:val="006B4E49"/>
    <w:rsid w:val="006B54E1"/>
    <w:rsid w:val="006B6008"/>
    <w:rsid w:val="006B69CB"/>
    <w:rsid w:val="006B737C"/>
    <w:rsid w:val="006B7E77"/>
    <w:rsid w:val="006C1123"/>
    <w:rsid w:val="006C28F2"/>
    <w:rsid w:val="006C3724"/>
    <w:rsid w:val="006C486B"/>
    <w:rsid w:val="006C4911"/>
    <w:rsid w:val="006C4DCE"/>
    <w:rsid w:val="006C4E2C"/>
    <w:rsid w:val="006C5426"/>
    <w:rsid w:val="006C68F9"/>
    <w:rsid w:val="006C741B"/>
    <w:rsid w:val="006C7DBB"/>
    <w:rsid w:val="006D04A9"/>
    <w:rsid w:val="006D05B1"/>
    <w:rsid w:val="006D540B"/>
    <w:rsid w:val="006E3087"/>
    <w:rsid w:val="006E406D"/>
    <w:rsid w:val="006E430D"/>
    <w:rsid w:val="006E5929"/>
    <w:rsid w:val="006F0FA0"/>
    <w:rsid w:val="006F1DE8"/>
    <w:rsid w:val="006F37A7"/>
    <w:rsid w:val="006F4154"/>
    <w:rsid w:val="006F43D1"/>
    <w:rsid w:val="006F47AC"/>
    <w:rsid w:val="006F581B"/>
    <w:rsid w:val="0070040F"/>
    <w:rsid w:val="007041C6"/>
    <w:rsid w:val="007055BB"/>
    <w:rsid w:val="00705924"/>
    <w:rsid w:val="00705B8A"/>
    <w:rsid w:val="007069D1"/>
    <w:rsid w:val="00707E12"/>
    <w:rsid w:val="00712CE9"/>
    <w:rsid w:val="00713D61"/>
    <w:rsid w:val="00716AA6"/>
    <w:rsid w:val="00716D9B"/>
    <w:rsid w:val="0071710A"/>
    <w:rsid w:val="00717791"/>
    <w:rsid w:val="00717BED"/>
    <w:rsid w:val="0072248A"/>
    <w:rsid w:val="00722A90"/>
    <w:rsid w:val="00722BE8"/>
    <w:rsid w:val="00727065"/>
    <w:rsid w:val="00727D4D"/>
    <w:rsid w:val="0073009E"/>
    <w:rsid w:val="00730EE3"/>
    <w:rsid w:val="00731F26"/>
    <w:rsid w:val="00734507"/>
    <w:rsid w:val="007348C2"/>
    <w:rsid w:val="00741B93"/>
    <w:rsid w:val="00742A84"/>
    <w:rsid w:val="007461BD"/>
    <w:rsid w:val="007504DF"/>
    <w:rsid w:val="00750E64"/>
    <w:rsid w:val="007512E8"/>
    <w:rsid w:val="00751586"/>
    <w:rsid w:val="00751607"/>
    <w:rsid w:val="007518CC"/>
    <w:rsid w:val="00752D6E"/>
    <w:rsid w:val="00754F3F"/>
    <w:rsid w:val="007550A7"/>
    <w:rsid w:val="00755BAC"/>
    <w:rsid w:val="00756106"/>
    <w:rsid w:val="007573C4"/>
    <w:rsid w:val="007645B0"/>
    <w:rsid w:val="00765312"/>
    <w:rsid w:val="00765A93"/>
    <w:rsid w:val="007662B1"/>
    <w:rsid w:val="00766DB6"/>
    <w:rsid w:val="00766E60"/>
    <w:rsid w:val="007703DE"/>
    <w:rsid w:val="007716DB"/>
    <w:rsid w:val="00771909"/>
    <w:rsid w:val="00773207"/>
    <w:rsid w:val="00774303"/>
    <w:rsid w:val="00774747"/>
    <w:rsid w:val="007756CF"/>
    <w:rsid w:val="00780C31"/>
    <w:rsid w:val="007824BE"/>
    <w:rsid w:val="00782B3D"/>
    <w:rsid w:val="00784AFC"/>
    <w:rsid w:val="00784FB0"/>
    <w:rsid w:val="00785703"/>
    <w:rsid w:val="00785E80"/>
    <w:rsid w:val="00786E21"/>
    <w:rsid w:val="00790567"/>
    <w:rsid w:val="0079224E"/>
    <w:rsid w:val="00793C96"/>
    <w:rsid w:val="00793FFD"/>
    <w:rsid w:val="007A13D3"/>
    <w:rsid w:val="007A3A8B"/>
    <w:rsid w:val="007B396A"/>
    <w:rsid w:val="007B3AB0"/>
    <w:rsid w:val="007B5379"/>
    <w:rsid w:val="007B55F6"/>
    <w:rsid w:val="007C1C1D"/>
    <w:rsid w:val="007C1F86"/>
    <w:rsid w:val="007C2B6F"/>
    <w:rsid w:val="007C2C35"/>
    <w:rsid w:val="007C3B64"/>
    <w:rsid w:val="007C6491"/>
    <w:rsid w:val="007C709D"/>
    <w:rsid w:val="007C76FA"/>
    <w:rsid w:val="007C7FC9"/>
    <w:rsid w:val="007D083E"/>
    <w:rsid w:val="007D13DE"/>
    <w:rsid w:val="007D2520"/>
    <w:rsid w:val="007D5730"/>
    <w:rsid w:val="007D5BFB"/>
    <w:rsid w:val="007E04F3"/>
    <w:rsid w:val="007E4BE8"/>
    <w:rsid w:val="007E4CAE"/>
    <w:rsid w:val="007E59E3"/>
    <w:rsid w:val="007E60EB"/>
    <w:rsid w:val="007F0288"/>
    <w:rsid w:val="007F0429"/>
    <w:rsid w:val="007F0975"/>
    <w:rsid w:val="007F0E00"/>
    <w:rsid w:val="007F1CCF"/>
    <w:rsid w:val="007F1CE6"/>
    <w:rsid w:val="007F3359"/>
    <w:rsid w:val="007F355E"/>
    <w:rsid w:val="007F5A85"/>
    <w:rsid w:val="007F5D43"/>
    <w:rsid w:val="007F6168"/>
    <w:rsid w:val="007F6E36"/>
    <w:rsid w:val="008019B0"/>
    <w:rsid w:val="0080209E"/>
    <w:rsid w:val="00805D15"/>
    <w:rsid w:val="0080606D"/>
    <w:rsid w:val="008068AB"/>
    <w:rsid w:val="0081004B"/>
    <w:rsid w:val="00812326"/>
    <w:rsid w:val="00812651"/>
    <w:rsid w:val="00815D47"/>
    <w:rsid w:val="00816A44"/>
    <w:rsid w:val="00821DFD"/>
    <w:rsid w:val="00822129"/>
    <w:rsid w:val="00824C5B"/>
    <w:rsid w:val="008250C3"/>
    <w:rsid w:val="00825327"/>
    <w:rsid w:val="00826BD1"/>
    <w:rsid w:val="00827906"/>
    <w:rsid w:val="00827D40"/>
    <w:rsid w:val="00830F37"/>
    <w:rsid w:val="008311DC"/>
    <w:rsid w:val="00833F3B"/>
    <w:rsid w:val="0083461B"/>
    <w:rsid w:val="00840AD3"/>
    <w:rsid w:val="00842238"/>
    <w:rsid w:val="00842412"/>
    <w:rsid w:val="008434B4"/>
    <w:rsid w:val="00845B3D"/>
    <w:rsid w:val="00846E40"/>
    <w:rsid w:val="00847062"/>
    <w:rsid w:val="00851B39"/>
    <w:rsid w:val="00854B0E"/>
    <w:rsid w:val="00857E1E"/>
    <w:rsid w:val="00860C49"/>
    <w:rsid w:val="00861ECE"/>
    <w:rsid w:val="008621BB"/>
    <w:rsid w:val="0086233A"/>
    <w:rsid w:val="00865C02"/>
    <w:rsid w:val="00866128"/>
    <w:rsid w:val="008662A4"/>
    <w:rsid w:val="008665BF"/>
    <w:rsid w:val="008705A0"/>
    <w:rsid w:val="00872947"/>
    <w:rsid w:val="00874F70"/>
    <w:rsid w:val="008756E1"/>
    <w:rsid w:val="00875869"/>
    <w:rsid w:val="00875E90"/>
    <w:rsid w:val="00876F3C"/>
    <w:rsid w:val="008813BA"/>
    <w:rsid w:val="00881CB9"/>
    <w:rsid w:val="008824D7"/>
    <w:rsid w:val="008825EB"/>
    <w:rsid w:val="008834C0"/>
    <w:rsid w:val="00884861"/>
    <w:rsid w:val="00884A37"/>
    <w:rsid w:val="008860E2"/>
    <w:rsid w:val="0088746D"/>
    <w:rsid w:val="00890EB0"/>
    <w:rsid w:val="008912B1"/>
    <w:rsid w:val="00892572"/>
    <w:rsid w:val="00892AB0"/>
    <w:rsid w:val="00893D8D"/>
    <w:rsid w:val="0089446A"/>
    <w:rsid w:val="008A1A36"/>
    <w:rsid w:val="008A5DDF"/>
    <w:rsid w:val="008A7BCF"/>
    <w:rsid w:val="008B244E"/>
    <w:rsid w:val="008B4100"/>
    <w:rsid w:val="008C09EA"/>
    <w:rsid w:val="008C10EE"/>
    <w:rsid w:val="008C1A81"/>
    <w:rsid w:val="008C2100"/>
    <w:rsid w:val="008C317F"/>
    <w:rsid w:val="008C3DDC"/>
    <w:rsid w:val="008C4072"/>
    <w:rsid w:val="008C7172"/>
    <w:rsid w:val="008C7E63"/>
    <w:rsid w:val="008D015B"/>
    <w:rsid w:val="008D133A"/>
    <w:rsid w:val="008D1E2B"/>
    <w:rsid w:val="008D489E"/>
    <w:rsid w:val="008D6087"/>
    <w:rsid w:val="008E03F1"/>
    <w:rsid w:val="008E0D1C"/>
    <w:rsid w:val="008E1819"/>
    <w:rsid w:val="008E1F5C"/>
    <w:rsid w:val="008E3044"/>
    <w:rsid w:val="008E30D7"/>
    <w:rsid w:val="008E47CD"/>
    <w:rsid w:val="008E6A9F"/>
    <w:rsid w:val="008E6B3D"/>
    <w:rsid w:val="008F1599"/>
    <w:rsid w:val="008F3067"/>
    <w:rsid w:val="008F3079"/>
    <w:rsid w:val="008F32E3"/>
    <w:rsid w:val="008F457B"/>
    <w:rsid w:val="008F4AF7"/>
    <w:rsid w:val="008F4DC1"/>
    <w:rsid w:val="008F7787"/>
    <w:rsid w:val="00900803"/>
    <w:rsid w:val="00902CDC"/>
    <w:rsid w:val="00902EFE"/>
    <w:rsid w:val="00903712"/>
    <w:rsid w:val="00904867"/>
    <w:rsid w:val="0090698B"/>
    <w:rsid w:val="00910795"/>
    <w:rsid w:val="009122ED"/>
    <w:rsid w:val="00912636"/>
    <w:rsid w:val="009128B0"/>
    <w:rsid w:val="00913C0D"/>
    <w:rsid w:val="00913DAD"/>
    <w:rsid w:val="009142FE"/>
    <w:rsid w:val="00914A50"/>
    <w:rsid w:val="0091599A"/>
    <w:rsid w:val="009168E7"/>
    <w:rsid w:val="00916907"/>
    <w:rsid w:val="0091767E"/>
    <w:rsid w:val="00917F42"/>
    <w:rsid w:val="009254E9"/>
    <w:rsid w:val="00925507"/>
    <w:rsid w:val="00925DCE"/>
    <w:rsid w:val="00927AEA"/>
    <w:rsid w:val="009314BB"/>
    <w:rsid w:val="009334FA"/>
    <w:rsid w:val="009343AE"/>
    <w:rsid w:val="00935F0E"/>
    <w:rsid w:val="009401DA"/>
    <w:rsid w:val="00941D97"/>
    <w:rsid w:val="00945C78"/>
    <w:rsid w:val="00946DCE"/>
    <w:rsid w:val="00947545"/>
    <w:rsid w:val="00947D36"/>
    <w:rsid w:val="00952FD5"/>
    <w:rsid w:val="00953140"/>
    <w:rsid w:val="0095436B"/>
    <w:rsid w:val="00955B63"/>
    <w:rsid w:val="009561D3"/>
    <w:rsid w:val="009602E6"/>
    <w:rsid w:val="00960AF6"/>
    <w:rsid w:val="00963F33"/>
    <w:rsid w:val="00964D95"/>
    <w:rsid w:val="00965970"/>
    <w:rsid w:val="00965F49"/>
    <w:rsid w:val="00966E9D"/>
    <w:rsid w:val="009677E4"/>
    <w:rsid w:val="0097035B"/>
    <w:rsid w:val="00971FFA"/>
    <w:rsid w:val="0097228E"/>
    <w:rsid w:val="0097404F"/>
    <w:rsid w:val="00977947"/>
    <w:rsid w:val="00977B81"/>
    <w:rsid w:val="009819AB"/>
    <w:rsid w:val="00982F79"/>
    <w:rsid w:val="009847F9"/>
    <w:rsid w:val="00987B04"/>
    <w:rsid w:val="00990DF1"/>
    <w:rsid w:val="00993561"/>
    <w:rsid w:val="00993BC3"/>
    <w:rsid w:val="009946C2"/>
    <w:rsid w:val="00994F79"/>
    <w:rsid w:val="00995DCE"/>
    <w:rsid w:val="009A376E"/>
    <w:rsid w:val="009A3B52"/>
    <w:rsid w:val="009A4E0B"/>
    <w:rsid w:val="009B006B"/>
    <w:rsid w:val="009B1578"/>
    <w:rsid w:val="009B1CD8"/>
    <w:rsid w:val="009B1D81"/>
    <w:rsid w:val="009B2C42"/>
    <w:rsid w:val="009B4CD8"/>
    <w:rsid w:val="009B6028"/>
    <w:rsid w:val="009B6E2D"/>
    <w:rsid w:val="009C0306"/>
    <w:rsid w:val="009C0DCE"/>
    <w:rsid w:val="009C2635"/>
    <w:rsid w:val="009C2D4F"/>
    <w:rsid w:val="009D1242"/>
    <w:rsid w:val="009D1A66"/>
    <w:rsid w:val="009D2907"/>
    <w:rsid w:val="009D2D0D"/>
    <w:rsid w:val="009D4377"/>
    <w:rsid w:val="009D43F2"/>
    <w:rsid w:val="009D5FD1"/>
    <w:rsid w:val="009D73D1"/>
    <w:rsid w:val="009D7C8A"/>
    <w:rsid w:val="009E0B10"/>
    <w:rsid w:val="009E3357"/>
    <w:rsid w:val="009E37CA"/>
    <w:rsid w:val="009E3A64"/>
    <w:rsid w:val="009E4002"/>
    <w:rsid w:val="009E7DA9"/>
    <w:rsid w:val="009F0148"/>
    <w:rsid w:val="009F0213"/>
    <w:rsid w:val="009F0384"/>
    <w:rsid w:val="009F2C17"/>
    <w:rsid w:val="009F42F2"/>
    <w:rsid w:val="00A02370"/>
    <w:rsid w:val="00A03D29"/>
    <w:rsid w:val="00A04725"/>
    <w:rsid w:val="00A06604"/>
    <w:rsid w:val="00A06B7A"/>
    <w:rsid w:val="00A124BD"/>
    <w:rsid w:val="00A14778"/>
    <w:rsid w:val="00A150DF"/>
    <w:rsid w:val="00A154B2"/>
    <w:rsid w:val="00A15D0D"/>
    <w:rsid w:val="00A166AE"/>
    <w:rsid w:val="00A16852"/>
    <w:rsid w:val="00A20409"/>
    <w:rsid w:val="00A21273"/>
    <w:rsid w:val="00A2397E"/>
    <w:rsid w:val="00A256B9"/>
    <w:rsid w:val="00A26DCC"/>
    <w:rsid w:val="00A26E58"/>
    <w:rsid w:val="00A272A0"/>
    <w:rsid w:val="00A345E2"/>
    <w:rsid w:val="00A35620"/>
    <w:rsid w:val="00A401BD"/>
    <w:rsid w:val="00A417B8"/>
    <w:rsid w:val="00A420C3"/>
    <w:rsid w:val="00A42663"/>
    <w:rsid w:val="00A43639"/>
    <w:rsid w:val="00A45A80"/>
    <w:rsid w:val="00A51197"/>
    <w:rsid w:val="00A53868"/>
    <w:rsid w:val="00A538CD"/>
    <w:rsid w:val="00A559C9"/>
    <w:rsid w:val="00A56D4D"/>
    <w:rsid w:val="00A57279"/>
    <w:rsid w:val="00A57933"/>
    <w:rsid w:val="00A57C8F"/>
    <w:rsid w:val="00A57EFC"/>
    <w:rsid w:val="00A613C0"/>
    <w:rsid w:val="00A62000"/>
    <w:rsid w:val="00A63AAD"/>
    <w:rsid w:val="00A63E2A"/>
    <w:rsid w:val="00A6414B"/>
    <w:rsid w:val="00A6487B"/>
    <w:rsid w:val="00A64CA9"/>
    <w:rsid w:val="00A64D72"/>
    <w:rsid w:val="00A73E99"/>
    <w:rsid w:val="00A741EE"/>
    <w:rsid w:val="00A76F49"/>
    <w:rsid w:val="00A7734D"/>
    <w:rsid w:val="00A77700"/>
    <w:rsid w:val="00A81261"/>
    <w:rsid w:val="00A81949"/>
    <w:rsid w:val="00A858BF"/>
    <w:rsid w:val="00A90BAE"/>
    <w:rsid w:val="00A90ED4"/>
    <w:rsid w:val="00A91ABC"/>
    <w:rsid w:val="00A95BB5"/>
    <w:rsid w:val="00A97CA9"/>
    <w:rsid w:val="00AA28A9"/>
    <w:rsid w:val="00AA2B87"/>
    <w:rsid w:val="00AA4268"/>
    <w:rsid w:val="00AA7633"/>
    <w:rsid w:val="00AB0FEF"/>
    <w:rsid w:val="00AB2632"/>
    <w:rsid w:val="00AB3894"/>
    <w:rsid w:val="00AB432B"/>
    <w:rsid w:val="00AB459A"/>
    <w:rsid w:val="00AB45B1"/>
    <w:rsid w:val="00AB4AAE"/>
    <w:rsid w:val="00AB6B89"/>
    <w:rsid w:val="00AC03F3"/>
    <w:rsid w:val="00AC43FB"/>
    <w:rsid w:val="00AC4B86"/>
    <w:rsid w:val="00AC69FD"/>
    <w:rsid w:val="00AD281A"/>
    <w:rsid w:val="00AD2F6E"/>
    <w:rsid w:val="00AD3275"/>
    <w:rsid w:val="00AE00AE"/>
    <w:rsid w:val="00AE00D8"/>
    <w:rsid w:val="00AE0FC1"/>
    <w:rsid w:val="00AE11C8"/>
    <w:rsid w:val="00AE1A0C"/>
    <w:rsid w:val="00AE4E28"/>
    <w:rsid w:val="00AE7DF7"/>
    <w:rsid w:val="00AF0545"/>
    <w:rsid w:val="00AF1A48"/>
    <w:rsid w:val="00AF1E2B"/>
    <w:rsid w:val="00AF26EE"/>
    <w:rsid w:val="00AF42CA"/>
    <w:rsid w:val="00AF4765"/>
    <w:rsid w:val="00AF4B73"/>
    <w:rsid w:val="00B008E0"/>
    <w:rsid w:val="00B01B5C"/>
    <w:rsid w:val="00B02B07"/>
    <w:rsid w:val="00B03520"/>
    <w:rsid w:val="00B0414F"/>
    <w:rsid w:val="00B05874"/>
    <w:rsid w:val="00B1183E"/>
    <w:rsid w:val="00B11F73"/>
    <w:rsid w:val="00B13197"/>
    <w:rsid w:val="00B1366B"/>
    <w:rsid w:val="00B13A0C"/>
    <w:rsid w:val="00B14723"/>
    <w:rsid w:val="00B15CAF"/>
    <w:rsid w:val="00B1732D"/>
    <w:rsid w:val="00B1751C"/>
    <w:rsid w:val="00B20CD3"/>
    <w:rsid w:val="00B220D9"/>
    <w:rsid w:val="00B22EBC"/>
    <w:rsid w:val="00B230DC"/>
    <w:rsid w:val="00B23A16"/>
    <w:rsid w:val="00B24AEE"/>
    <w:rsid w:val="00B26FEA"/>
    <w:rsid w:val="00B27AE5"/>
    <w:rsid w:val="00B35C03"/>
    <w:rsid w:val="00B37113"/>
    <w:rsid w:val="00B41196"/>
    <w:rsid w:val="00B41508"/>
    <w:rsid w:val="00B43AE9"/>
    <w:rsid w:val="00B462F0"/>
    <w:rsid w:val="00B46DAC"/>
    <w:rsid w:val="00B526B1"/>
    <w:rsid w:val="00B52D42"/>
    <w:rsid w:val="00B5629A"/>
    <w:rsid w:val="00B610E7"/>
    <w:rsid w:val="00B627C3"/>
    <w:rsid w:val="00B62A67"/>
    <w:rsid w:val="00B67D91"/>
    <w:rsid w:val="00B70D25"/>
    <w:rsid w:val="00B71853"/>
    <w:rsid w:val="00B7272A"/>
    <w:rsid w:val="00B728BA"/>
    <w:rsid w:val="00B74415"/>
    <w:rsid w:val="00B76FEF"/>
    <w:rsid w:val="00B80E42"/>
    <w:rsid w:val="00B87931"/>
    <w:rsid w:val="00B913EC"/>
    <w:rsid w:val="00B924D0"/>
    <w:rsid w:val="00B928FC"/>
    <w:rsid w:val="00B92E45"/>
    <w:rsid w:val="00B95133"/>
    <w:rsid w:val="00B977DB"/>
    <w:rsid w:val="00B97E6A"/>
    <w:rsid w:val="00BA0595"/>
    <w:rsid w:val="00BA351E"/>
    <w:rsid w:val="00BA5CD6"/>
    <w:rsid w:val="00BA6C76"/>
    <w:rsid w:val="00BA70D9"/>
    <w:rsid w:val="00BB2D45"/>
    <w:rsid w:val="00BB7166"/>
    <w:rsid w:val="00BB7711"/>
    <w:rsid w:val="00BC1439"/>
    <w:rsid w:val="00BC425B"/>
    <w:rsid w:val="00BC5730"/>
    <w:rsid w:val="00BC5752"/>
    <w:rsid w:val="00BD06A5"/>
    <w:rsid w:val="00BD1C6A"/>
    <w:rsid w:val="00BD20A6"/>
    <w:rsid w:val="00BD2138"/>
    <w:rsid w:val="00BD4566"/>
    <w:rsid w:val="00BD657D"/>
    <w:rsid w:val="00BD7A7F"/>
    <w:rsid w:val="00BE1306"/>
    <w:rsid w:val="00BE2B5C"/>
    <w:rsid w:val="00BE4FA7"/>
    <w:rsid w:val="00BE5168"/>
    <w:rsid w:val="00BE5BB2"/>
    <w:rsid w:val="00BE76DA"/>
    <w:rsid w:val="00BF22E6"/>
    <w:rsid w:val="00BF311A"/>
    <w:rsid w:val="00BF3C3A"/>
    <w:rsid w:val="00BF5C6F"/>
    <w:rsid w:val="00BF690D"/>
    <w:rsid w:val="00BF7A8F"/>
    <w:rsid w:val="00C02485"/>
    <w:rsid w:val="00C02EBB"/>
    <w:rsid w:val="00C03663"/>
    <w:rsid w:val="00C04AD7"/>
    <w:rsid w:val="00C10D98"/>
    <w:rsid w:val="00C11144"/>
    <w:rsid w:val="00C14A6E"/>
    <w:rsid w:val="00C14AB3"/>
    <w:rsid w:val="00C14C28"/>
    <w:rsid w:val="00C17CCC"/>
    <w:rsid w:val="00C20AD8"/>
    <w:rsid w:val="00C214B7"/>
    <w:rsid w:val="00C2377F"/>
    <w:rsid w:val="00C23BB6"/>
    <w:rsid w:val="00C23F02"/>
    <w:rsid w:val="00C26209"/>
    <w:rsid w:val="00C311E3"/>
    <w:rsid w:val="00C31310"/>
    <w:rsid w:val="00C32FDB"/>
    <w:rsid w:val="00C33A61"/>
    <w:rsid w:val="00C33D13"/>
    <w:rsid w:val="00C34337"/>
    <w:rsid w:val="00C365F0"/>
    <w:rsid w:val="00C36674"/>
    <w:rsid w:val="00C41E0C"/>
    <w:rsid w:val="00C4318D"/>
    <w:rsid w:val="00C474B5"/>
    <w:rsid w:val="00C505EE"/>
    <w:rsid w:val="00C5107C"/>
    <w:rsid w:val="00C51A2B"/>
    <w:rsid w:val="00C540EF"/>
    <w:rsid w:val="00C57245"/>
    <w:rsid w:val="00C57CB2"/>
    <w:rsid w:val="00C60EFB"/>
    <w:rsid w:val="00C61D48"/>
    <w:rsid w:val="00C62B36"/>
    <w:rsid w:val="00C64DC6"/>
    <w:rsid w:val="00C66B08"/>
    <w:rsid w:val="00C67143"/>
    <w:rsid w:val="00C7192E"/>
    <w:rsid w:val="00C71CC1"/>
    <w:rsid w:val="00C737B7"/>
    <w:rsid w:val="00C74BB4"/>
    <w:rsid w:val="00C755C2"/>
    <w:rsid w:val="00C761E9"/>
    <w:rsid w:val="00C76A2F"/>
    <w:rsid w:val="00C76F3B"/>
    <w:rsid w:val="00C777F6"/>
    <w:rsid w:val="00C82EC7"/>
    <w:rsid w:val="00C832F3"/>
    <w:rsid w:val="00C83820"/>
    <w:rsid w:val="00C87E38"/>
    <w:rsid w:val="00C90F23"/>
    <w:rsid w:val="00C940BE"/>
    <w:rsid w:val="00C9480D"/>
    <w:rsid w:val="00CA21C8"/>
    <w:rsid w:val="00CA3369"/>
    <w:rsid w:val="00CA455C"/>
    <w:rsid w:val="00CA5FA0"/>
    <w:rsid w:val="00CA7BB5"/>
    <w:rsid w:val="00CB3584"/>
    <w:rsid w:val="00CB676F"/>
    <w:rsid w:val="00CB6F91"/>
    <w:rsid w:val="00CC11EB"/>
    <w:rsid w:val="00CC3704"/>
    <w:rsid w:val="00CC3926"/>
    <w:rsid w:val="00CC5168"/>
    <w:rsid w:val="00CC528C"/>
    <w:rsid w:val="00CC52BB"/>
    <w:rsid w:val="00CC6CCC"/>
    <w:rsid w:val="00CD0A8B"/>
    <w:rsid w:val="00CD5D04"/>
    <w:rsid w:val="00CE08FE"/>
    <w:rsid w:val="00CE092E"/>
    <w:rsid w:val="00CE1810"/>
    <w:rsid w:val="00CE3AB5"/>
    <w:rsid w:val="00CE6A17"/>
    <w:rsid w:val="00CE79D2"/>
    <w:rsid w:val="00CF18BE"/>
    <w:rsid w:val="00CF1DF1"/>
    <w:rsid w:val="00CF1E17"/>
    <w:rsid w:val="00CF25F4"/>
    <w:rsid w:val="00CF6307"/>
    <w:rsid w:val="00CF6D68"/>
    <w:rsid w:val="00CF727D"/>
    <w:rsid w:val="00D0076B"/>
    <w:rsid w:val="00D0392B"/>
    <w:rsid w:val="00D03C3F"/>
    <w:rsid w:val="00D04F82"/>
    <w:rsid w:val="00D07006"/>
    <w:rsid w:val="00D075AF"/>
    <w:rsid w:val="00D1047D"/>
    <w:rsid w:val="00D1116E"/>
    <w:rsid w:val="00D1246F"/>
    <w:rsid w:val="00D13858"/>
    <w:rsid w:val="00D14A02"/>
    <w:rsid w:val="00D16306"/>
    <w:rsid w:val="00D17752"/>
    <w:rsid w:val="00D23D10"/>
    <w:rsid w:val="00D2487A"/>
    <w:rsid w:val="00D3225D"/>
    <w:rsid w:val="00D35C1A"/>
    <w:rsid w:val="00D3718B"/>
    <w:rsid w:val="00D4005F"/>
    <w:rsid w:val="00D40457"/>
    <w:rsid w:val="00D40ADA"/>
    <w:rsid w:val="00D43191"/>
    <w:rsid w:val="00D4350A"/>
    <w:rsid w:val="00D439C2"/>
    <w:rsid w:val="00D503CF"/>
    <w:rsid w:val="00D52A4A"/>
    <w:rsid w:val="00D52AE5"/>
    <w:rsid w:val="00D52E5A"/>
    <w:rsid w:val="00D52EA6"/>
    <w:rsid w:val="00D5479C"/>
    <w:rsid w:val="00D55CDA"/>
    <w:rsid w:val="00D57C08"/>
    <w:rsid w:val="00D601F3"/>
    <w:rsid w:val="00D62DF4"/>
    <w:rsid w:val="00D6306C"/>
    <w:rsid w:val="00D63459"/>
    <w:rsid w:val="00D64131"/>
    <w:rsid w:val="00D74150"/>
    <w:rsid w:val="00D74C74"/>
    <w:rsid w:val="00D7641F"/>
    <w:rsid w:val="00D769C9"/>
    <w:rsid w:val="00D76F30"/>
    <w:rsid w:val="00D772E3"/>
    <w:rsid w:val="00D7735B"/>
    <w:rsid w:val="00D773B5"/>
    <w:rsid w:val="00D84EB5"/>
    <w:rsid w:val="00D862DB"/>
    <w:rsid w:val="00D867A9"/>
    <w:rsid w:val="00D87434"/>
    <w:rsid w:val="00D9063F"/>
    <w:rsid w:val="00D9145D"/>
    <w:rsid w:val="00D958B4"/>
    <w:rsid w:val="00DA2CA8"/>
    <w:rsid w:val="00DA5A0C"/>
    <w:rsid w:val="00DA6FCA"/>
    <w:rsid w:val="00DB122F"/>
    <w:rsid w:val="00DB24B4"/>
    <w:rsid w:val="00DB2F8F"/>
    <w:rsid w:val="00DB4AA7"/>
    <w:rsid w:val="00DB54AC"/>
    <w:rsid w:val="00DB670C"/>
    <w:rsid w:val="00DB6756"/>
    <w:rsid w:val="00DB683F"/>
    <w:rsid w:val="00DB6ED7"/>
    <w:rsid w:val="00DB7D2C"/>
    <w:rsid w:val="00DC7211"/>
    <w:rsid w:val="00DC7A73"/>
    <w:rsid w:val="00DC7DD1"/>
    <w:rsid w:val="00DD178B"/>
    <w:rsid w:val="00DD2782"/>
    <w:rsid w:val="00DD27CD"/>
    <w:rsid w:val="00DD355C"/>
    <w:rsid w:val="00DD3B94"/>
    <w:rsid w:val="00DD57BE"/>
    <w:rsid w:val="00DD57C4"/>
    <w:rsid w:val="00DD5ECE"/>
    <w:rsid w:val="00DD6108"/>
    <w:rsid w:val="00DE01C7"/>
    <w:rsid w:val="00DE2DAC"/>
    <w:rsid w:val="00DE6191"/>
    <w:rsid w:val="00DE75AC"/>
    <w:rsid w:val="00DF2026"/>
    <w:rsid w:val="00DF3D3E"/>
    <w:rsid w:val="00DF53BE"/>
    <w:rsid w:val="00DF651E"/>
    <w:rsid w:val="00E00548"/>
    <w:rsid w:val="00E029A5"/>
    <w:rsid w:val="00E0476C"/>
    <w:rsid w:val="00E057F0"/>
    <w:rsid w:val="00E12543"/>
    <w:rsid w:val="00E12DA9"/>
    <w:rsid w:val="00E14483"/>
    <w:rsid w:val="00E164A7"/>
    <w:rsid w:val="00E17467"/>
    <w:rsid w:val="00E21694"/>
    <w:rsid w:val="00E22E22"/>
    <w:rsid w:val="00E236E6"/>
    <w:rsid w:val="00E2499C"/>
    <w:rsid w:val="00E253AA"/>
    <w:rsid w:val="00E261C1"/>
    <w:rsid w:val="00E30452"/>
    <w:rsid w:val="00E32CAA"/>
    <w:rsid w:val="00E35548"/>
    <w:rsid w:val="00E35CA9"/>
    <w:rsid w:val="00E36BE4"/>
    <w:rsid w:val="00E409D7"/>
    <w:rsid w:val="00E41195"/>
    <w:rsid w:val="00E41315"/>
    <w:rsid w:val="00E419AB"/>
    <w:rsid w:val="00E41CEA"/>
    <w:rsid w:val="00E41E32"/>
    <w:rsid w:val="00E47BDC"/>
    <w:rsid w:val="00E50EA2"/>
    <w:rsid w:val="00E5546B"/>
    <w:rsid w:val="00E56666"/>
    <w:rsid w:val="00E568ED"/>
    <w:rsid w:val="00E62AEB"/>
    <w:rsid w:val="00E66065"/>
    <w:rsid w:val="00E66352"/>
    <w:rsid w:val="00E700A8"/>
    <w:rsid w:val="00E7031C"/>
    <w:rsid w:val="00E71CAA"/>
    <w:rsid w:val="00E72C56"/>
    <w:rsid w:val="00E7426E"/>
    <w:rsid w:val="00E746D0"/>
    <w:rsid w:val="00E75B94"/>
    <w:rsid w:val="00E76424"/>
    <w:rsid w:val="00E76542"/>
    <w:rsid w:val="00E775BD"/>
    <w:rsid w:val="00E77900"/>
    <w:rsid w:val="00E8241B"/>
    <w:rsid w:val="00E846BE"/>
    <w:rsid w:val="00E90418"/>
    <w:rsid w:val="00E918DE"/>
    <w:rsid w:val="00E94D10"/>
    <w:rsid w:val="00E95F8C"/>
    <w:rsid w:val="00E969A0"/>
    <w:rsid w:val="00E9740A"/>
    <w:rsid w:val="00E97BE0"/>
    <w:rsid w:val="00E97C8F"/>
    <w:rsid w:val="00E97D30"/>
    <w:rsid w:val="00EA052B"/>
    <w:rsid w:val="00EA1AA6"/>
    <w:rsid w:val="00EB2AA4"/>
    <w:rsid w:val="00EB34B6"/>
    <w:rsid w:val="00EB3581"/>
    <w:rsid w:val="00EB386E"/>
    <w:rsid w:val="00EB59E6"/>
    <w:rsid w:val="00EC04E5"/>
    <w:rsid w:val="00EC248C"/>
    <w:rsid w:val="00EC73D9"/>
    <w:rsid w:val="00EC73F7"/>
    <w:rsid w:val="00ED2625"/>
    <w:rsid w:val="00ED3A7E"/>
    <w:rsid w:val="00ED43A4"/>
    <w:rsid w:val="00ED45DB"/>
    <w:rsid w:val="00ED588A"/>
    <w:rsid w:val="00ED7EA9"/>
    <w:rsid w:val="00EE16A0"/>
    <w:rsid w:val="00EE1EE4"/>
    <w:rsid w:val="00EE3395"/>
    <w:rsid w:val="00EE6063"/>
    <w:rsid w:val="00EE67AB"/>
    <w:rsid w:val="00EF1987"/>
    <w:rsid w:val="00EF55E4"/>
    <w:rsid w:val="00EF76B1"/>
    <w:rsid w:val="00EF7F92"/>
    <w:rsid w:val="00F01571"/>
    <w:rsid w:val="00F02A94"/>
    <w:rsid w:val="00F04D6F"/>
    <w:rsid w:val="00F051D4"/>
    <w:rsid w:val="00F139A7"/>
    <w:rsid w:val="00F139D1"/>
    <w:rsid w:val="00F140E3"/>
    <w:rsid w:val="00F14740"/>
    <w:rsid w:val="00F169C7"/>
    <w:rsid w:val="00F210D2"/>
    <w:rsid w:val="00F21CBC"/>
    <w:rsid w:val="00F21D50"/>
    <w:rsid w:val="00F2590E"/>
    <w:rsid w:val="00F26E0F"/>
    <w:rsid w:val="00F27572"/>
    <w:rsid w:val="00F303CF"/>
    <w:rsid w:val="00F30747"/>
    <w:rsid w:val="00F3128E"/>
    <w:rsid w:val="00F31B0D"/>
    <w:rsid w:val="00F37136"/>
    <w:rsid w:val="00F40882"/>
    <w:rsid w:val="00F40EB0"/>
    <w:rsid w:val="00F418A0"/>
    <w:rsid w:val="00F419D2"/>
    <w:rsid w:val="00F41E52"/>
    <w:rsid w:val="00F515C8"/>
    <w:rsid w:val="00F5445B"/>
    <w:rsid w:val="00F56415"/>
    <w:rsid w:val="00F56BA1"/>
    <w:rsid w:val="00F573CA"/>
    <w:rsid w:val="00F57F29"/>
    <w:rsid w:val="00F6303E"/>
    <w:rsid w:val="00F634C5"/>
    <w:rsid w:val="00F63F19"/>
    <w:rsid w:val="00F65A0E"/>
    <w:rsid w:val="00F65A3D"/>
    <w:rsid w:val="00F65C93"/>
    <w:rsid w:val="00F663C6"/>
    <w:rsid w:val="00F666F4"/>
    <w:rsid w:val="00F70675"/>
    <w:rsid w:val="00F71179"/>
    <w:rsid w:val="00F71503"/>
    <w:rsid w:val="00F7400A"/>
    <w:rsid w:val="00F744BB"/>
    <w:rsid w:val="00F766F6"/>
    <w:rsid w:val="00F807DA"/>
    <w:rsid w:val="00F82215"/>
    <w:rsid w:val="00F82BF0"/>
    <w:rsid w:val="00F84C78"/>
    <w:rsid w:val="00F864AD"/>
    <w:rsid w:val="00F87A31"/>
    <w:rsid w:val="00F90525"/>
    <w:rsid w:val="00F908F2"/>
    <w:rsid w:val="00F90C22"/>
    <w:rsid w:val="00F92E06"/>
    <w:rsid w:val="00F9383E"/>
    <w:rsid w:val="00F943A2"/>
    <w:rsid w:val="00F9579F"/>
    <w:rsid w:val="00F96BA5"/>
    <w:rsid w:val="00F96E40"/>
    <w:rsid w:val="00FA197B"/>
    <w:rsid w:val="00FA7EAF"/>
    <w:rsid w:val="00FB26EF"/>
    <w:rsid w:val="00FB311B"/>
    <w:rsid w:val="00FB3F55"/>
    <w:rsid w:val="00FB4D7C"/>
    <w:rsid w:val="00FB5497"/>
    <w:rsid w:val="00FC1F16"/>
    <w:rsid w:val="00FC30BB"/>
    <w:rsid w:val="00FC3FB7"/>
    <w:rsid w:val="00FC409F"/>
    <w:rsid w:val="00FC4783"/>
    <w:rsid w:val="00FC5782"/>
    <w:rsid w:val="00FC693D"/>
    <w:rsid w:val="00FC7D05"/>
    <w:rsid w:val="00FD29A9"/>
    <w:rsid w:val="00FD3A9D"/>
    <w:rsid w:val="00FD4718"/>
    <w:rsid w:val="00FD4F55"/>
    <w:rsid w:val="00FD54F1"/>
    <w:rsid w:val="00FE3698"/>
    <w:rsid w:val="00FE563B"/>
    <w:rsid w:val="00FE6CD9"/>
    <w:rsid w:val="00FE6DC0"/>
    <w:rsid w:val="00FE79E8"/>
    <w:rsid w:val="00FE7E61"/>
    <w:rsid w:val="00FF3BD1"/>
    <w:rsid w:val="00FF604E"/>
    <w:rsid w:val="00FF66E4"/>
    <w:rsid w:val="00FF7052"/>
    <w:rsid w:val="00FF7D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E66067"/>
  <w15:docId w15:val="{0B9EF072-D567-4FB1-B320-181BF10E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mbria" w:eastAsia="MS Mincho" w:hAnsi="Cambria" w:cs="Cambria"/>
      <w:sz w:val="24"/>
      <w:szCs w:val="24"/>
      <w:lang w:val="en-GB" w:eastAsia="en-GB"/>
    </w:rPr>
  </w:style>
  <w:style w:type="paragraph" w:styleId="Ttulo3">
    <w:name w:val="heading 3"/>
    <w:basedOn w:val="Normal"/>
    <w:next w:val="Textoindependiente"/>
    <w:qFormat/>
    <w:pPr>
      <w:numPr>
        <w:ilvl w:val="2"/>
        <w:numId w:val="1"/>
      </w:numPr>
      <w:spacing w:before="280" w:after="280" w:line="330" w:lineRule="atLeast"/>
      <w:outlineLvl w:val="2"/>
    </w:pPr>
    <w:rPr>
      <w:rFonts w:ascii="ITCLegacySansLTBookRegular" w:eastAsia="Times New Roman" w:hAnsi="ITCLegacySansLTBookRegular"/>
      <w:color w:val="000000"/>
      <w:sz w:val="33"/>
      <w:szCs w:val="33"/>
    </w:rPr>
  </w:style>
  <w:style w:type="paragraph" w:styleId="Ttulo4">
    <w:name w:val="heading 4"/>
    <w:basedOn w:val="Normal"/>
    <w:next w:val="Normal"/>
    <w:link w:val="Ttulo4Car"/>
    <w:uiPriority w:val="9"/>
    <w:semiHidden/>
    <w:unhideWhenUsed/>
    <w:qFormat/>
    <w:rsid w:val="00061639"/>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uiPriority w:val="9"/>
    <w:unhideWhenUsed/>
    <w:qFormat/>
    <w:rsid w:val="00940D8C"/>
    <w:pPr>
      <w:spacing w:before="240" w:after="60"/>
      <w:outlineLvl w:val="5"/>
    </w:pPr>
    <w:rPr>
      <w:rFonts w:ascii="Calibri" w:eastAsia="Times New Roman"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olor w:val="000080"/>
      <w:lang w:val="en-GB" w:eastAsia="en-GB"/>
    </w:rPr>
  </w:style>
  <w:style w:type="character" w:customStyle="1" w:styleId="WW8Num3z0">
    <w:name w:val="WW8Num3z0"/>
    <w:rPr>
      <w:rFonts w:ascii="Symbol" w:hAnsi="Symbol"/>
      <w:lang w:val="en-GB" w:eastAsia="en-GB"/>
    </w:rPr>
  </w:style>
  <w:style w:type="character" w:customStyle="1" w:styleId="WW8Num3z1">
    <w:name w:val="WW8Num3z1"/>
    <w:rPr>
      <w:rFonts w:ascii="Courier New" w:hAnsi="Courier New" w:cs="Courier New"/>
      <w:lang w:val="en-GB" w:eastAsia="en-GB"/>
    </w:rPr>
  </w:style>
  <w:style w:type="character" w:customStyle="1" w:styleId="WW8Num3z2">
    <w:name w:val="WW8Num3z2"/>
    <w:rPr>
      <w:rFonts w:ascii="Wingdings" w:hAnsi="Wingdings"/>
      <w:lang w:val="en-GB" w:eastAsia="en-GB"/>
    </w:rPr>
  </w:style>
  <w:style w:type="character" w:customStyle="1" w:styleId="WW8Num3z3">
    <w:name w:val="WW8Num3z3"/>
    <w:rPr>
      <w:rFonts w:ascii="Symbol" w:hAnsi="Symbol"/>
      <w:lang w:val="en-GB" w:eastAsia="en-GB"/>
    </w:rPr>
  </w:style>
  <w:style w:type="character" w:customStyle="1" w:styleId="WW8Num3z4">
    <w:name w:val="WW8Num3z4"/>
    <w:rPr>
      <w:rFonts w:ascii="Courier New" w:hAnsi="Courier New" w:cs="Courier New"/>
      <w:lang w:val="en-GB" w:eastAsia="en-GB"/>
    </w:rPr>
  </w:style>
  <w:style w:type="character" w:customStyle="1" w:styleId="WW8Num3z5">
    <w:name w:val="WW8Num3z5"/>
    <w:rPr>
      <w:rFonts w:ascii="Wingdings" w:hAnsi="Wingdings"/>
      <w:lang w:val="en-GB" w:eastAsia="en-GB"/>
    </w:rPr>
  </w:style>
  <w:style w:type="character" w:customStyle="1" w:styleId="Policepardfaut2">
    <w:name w:val="Police par défaut2"/>
  </w:style>
  <w:style w:type="character" w:customStyle="1" w:styleId="WW8Num1z0">
    <w:name w:val="WW8Num1z0"/>
    <w:rPr>
      <w:rFonts w:ascii="Times New Roman" w:eastAsia="MS Mincho" w:hAnsi="Times New Roman" w:cs="Times New Roman"/>
      <w:lang w:val="en-GB" w:eastAsia="en-GB"/>
    </w:rPr>
  </w:style>
  <w:style w:type="character" w:customStyle="1" w:styleId="WW8Num1z1">
    <w:name w:val="WW8Num1z1"/>
    <w:rPr>
      <w:rFonts w:ascii="Courier New" w:hAnsi="Courier New" w:cs="Courier New"/>
      <w:lang w:val="en-GB" w:eastAsia="en-GB"/>
    </w:rPr>
  </w:style>
  <w:style w:type="character" w:customStyle="1" w:styleId="WW8Num1z2">
    <w:name w:val="WW8Num1z2"/>
    <w:rPr>
      <w:rFonts w:ascii="Wingdings" w:hAnsi="Wingdings"/>
      <w:lang w:val="en-GB" w:eastAsia="en-GB"/>
    </w:rPr>
  </w:style>
  <w:style w:type="character" w:customStyle="1" w:styleId="WW8Num1z3">
    <w:name w:val="WW8Num1z3"/>
    <w:rPr>
      <w:rFonts w:ascii="Symbol" w:hAnsi="Symbol"/>
      <w:lang w:val="en-GB" w:eastAsia="en-GB"/>
    </w:rPr>
  </w:style>
  <w:style w:type="character" w:customStyle="1" w:styleId="WW8Num2z1">
    <w:name w:val="WW8Num2z1"/>
    <w:rPr>
      <w:rFonts w:ascii="Wingdings" w:hAnsi="Wingdings"/>
      <w:color w:val="000080"/>
      <w:lang w:val="en-GB" w:eastAsia="en-GB"/>
    </w:rPr>
  </w:style>
  <w:style w:type="character" w:customStyle="1" w:styleId="WW8Num2z2">
    <w:name w:val="WW8Num2z2"/>
    <w:rPr>
      <w:rFonts w:ascii="Arial" w:eastAsia="MS Mincho" w:hAnsi="Arial" w:cs="Arial"/>
      <w:lang w:val="en-GB" w:eastAsia="en-GB"/>
    </w:rPr>
  </w:style>
  <w:style w:type="character" w:customStyle="1" w:styleId="WW8Num2z3">
    <w:name w:val="WW8Num2z3"/>
    <w:rPr>
      <w:rFonts w:ascii="Symbol" w:hAnsi="Symbol"/>
      <w:lang w:val="en-GB" w:eastAsia="en-GB"/>
    </w:rPr>
  </w:style>
  <w:style w:type="character" w:customStyle="1" w:styleId="WW8Num2z4">
    <w:name w:val="WW8Num2z4"/>
    <w:rPr>
      <w:rFonts w:ascii="Courier New" w:hAnsi="Courier New" w:cs="Courier New"/>
      <w:lang w:val="en-GB" w:eastAsia="en-GB"/>
    </w:rPr>
  </w:style>
  <w:style w:type="character" w:customStyle="1" w:styleId="WW8Num2z5">
    <w:name w:val="WW8Num2z5"/>
    <w:rPr>
      <w:rFonts w:ascii="Wingdings" w:hAnsi="Wingdings"/>
      <w:lang w:val="en-GB" w:eastAsia="en-GB"/>
    </w:rPr>
  </w:style>
  <w:style w:type="character" w:customStyle="1" w:styleId="WW8Num4z0">
    <w:name w:val="WW8Num4z0"/>
    <w:rPr>
      <w:rFonts w:ascii="Symbol" w:hAnsi="Symbol"/>
      <w:color w:val="000080"/>
      <w:lang w:val="en-GB" w:eastAsia="en-GB"/>
    </w:rPr>
  </w:style>
  <w:style w:type="character" w:customStyle="1" w:styleId="WW8Num4z1">
    <w:name w:val="WW8Num4z1"/>
    <w:rPr>
      <w:rFonts w:ascii="Courier New" w:hAnsi="Courier New"/>
      <w:color w:val="000080"/>
      <w:lang w:val="en-GB" w:eastAsia="en-GB"/>
    </w:rPr>
  </w:style>
  <w:style w:type="character" w:customStyle="1" w:styleId="WW8Num4z2">
    <w:name w:val="WW8Num4z2"/>
    <w:rPr>
      <w:rFonts w:ascii="Arial" w:eastAsia="MS Mincho" w:hAnsi="Arial" w:cs="Arial"/>
      <w:lang w:val="en-GB" w:eastAsia="en-GB"/>
    </w:rPr>
  </w:style>
  <w:style w:type="character" w:customStyle="1" w:styleId="WW8Num4z3">
    <w:name w:val="WW8Num4z3"/>
    <w:rPr>
      <w:rFonts w:ascii="Symbol" w:hAnsi="Symbol"/>
      <w:lang w:val="en-GB" w:eastAsia="en-GB"/>
    </w:rPr>
  </w:style>
  <w:style w:type="character" w:customStyle="1" w:styleId="WW8Num4z4">
    <w:name w:val="WW8Num4z4"/>
    <w:rPr>
      <w:rFonts w:ascii="Courier New" w:hAnsi="Courier New" w:cs="Courier New"/>
      <w:lang w:val="en-GB" w:eastAsia="en-GB"/>
    </w:rPr>
  </w:style>
  <w:style w:type="character" w:customStyle="1" w:styleId="WW8Num4z5">
    <w:name w:val="WW8Num4z5"/>
    <w:rPr>
      <w:rFonts w:ascii="Wingdings" w:hAnsi="Wingdings"/>
      <w:lang w:val="en-GB" w:eastAsia="en-GB"/>
    </w:rPr>
  </w:style>
  <w:style w:type="character" w:customStyle="1" w:styleId="WW8Num5z0">
    <w:name w:val="WW8Num5z0"/>
    <w:rPr>
      <w:rFonts w:ascii="Symbol" w:hAnsi="Symbol"/>
      <w:color w:val="61B57C"/>
      <w:w w:val="100"/>
      <w:lang w:val="en-GB" w:eastAsia="en-GB"/>
    </w:rPr>
  </w:style>
  <w:style w:type="character" w:customStyle="1" w:styleId="WW8Num5z1">
    <w:name w:val="WW8Num5z1"/>
    <w:rPr>
      <w:rFonts w:ascii="Courier New" w:hAnsi="Courier New" w:cs="Courier New"/>
      <w:lang w:val="en-GB" w:eastAsia="en-GB"/>
    </w:rPr>
  </w:style>
  <w:style w:type="character" w:customStyle="1" w:styleId="WW8Num5z2">
    <w:name w:val="WW8Num5z2"/>
    <w:rPr>
      <w:rFonts w:ascii="Wingdings" w:hAnsi="Wingdings"/>
      <w:lang w:val="en-GB" w:eastAsia="en-GB"/>
    </w:rPr>
  </w:style>
  <w:style w:type="character" w:customStyle="1" w:styleId="WW8Num5z3">
    <w:name w:val="WW8Num5z3"/>
    <w:rPr>
      <w:rFonts w:ascii="Symbol" w:hAnsi="Symbol"/>
      <w:lang w:val="en-GB" w:eastAsia="en-GB"/>
    </w:rPr>
  </w:style>
  <w:style w:type="character" w:customStyle="1" w:styleId="WW8Num6z0">
    <w:name w:val="WW8Num6z0"/>
    <w:rPr>
      <w:rFonts w:ascii="Symbol" w:hAnsi="Symbol"/>
      <w:color w:val="61B57C"/>
      <w:w w:val="100"/>
      <w:lang w:val="en-GB" w:eastAsia="en-GB"/>
    </w:rPr>
  </w:style>
  <w:style w:type="character" w:customStyle="1" w:styleId="WW8Num6z1">
    <w:name w:val="WW8Num6z1"/>
    <w:rPr>
      <w:rFonts w:ascii="Courier New" w:hAnsi="Courier New" w:cs="Courier New"/>
      <w:lang w:val="en-GB" w:eastAsia="en-GB"/>
    </w:rPr>
  </w:style>
  <w:style w:type="character" w:customStyle="1" w:styleId="WW8Num6z2">
    <w:name w:val="WW8Num6z2"/>
    <w:rPr>
      <w:rFonts w:ascii="Wingdings" w:hAnsi="Wingdings"/>
      <w:lang w:val="en-GB" w:eastAsia="en-GB"/>
    </w:rPr>
  </w:style>
  <w:style w:type="character" w:customStyle="1" w:styleId="WW8Num6z3">
    <w:name w:val="WW8Num6z3"/>
    <w:rPr>
      <w:rFonts w:ascii="Symbol" w:hAnsi="Symbol"/>
      <w:lang w:val="en-GB" w:eastAsia="en-GB"/>
    </w:rPr>
  </w:style>
  <w:style w:type="character" w:customStyle="1" w:styleId="WW8Num7z0">
    <w:name w:val="WW8Num7z0"/>
    <w:rPr>
      <w:rFonts w:ascii="Symbol" w:hAnsi="Symbol"/>
      <w:color w:val="000080"/>
      <w:lang w:val="en-GB" w:eastAsia="en-GB"/>
    </w:rPr>
  </w:style>
  <w:style w:type="character" w:customStyle="1" w:styleId="WW8Num7z1">
    <w:name w:val="WW8Num7z1"/>
    <w:rPr>
      <w:rFonts w:ascii="Wingdings" w:hAnsi="Wingdings"/>
      <w:color w:val="000080"/>
      <w:lang w:val="en-GB" w:eastAsia="en-GB"/>
    </w:rPr>
  </w:style>
  <w:style w:type="character" w:customStyle="1" w:styleId="WW8Num7z2">
    <w:name w:val="WW8Num7z2"/>
    <w:rPr>
      <w:rFonts w:ascii="Arial" w:eastAsia="MS Mincho" w:hAnsi="Arial" w:cs="Arial"/>
      <w:lang w:val="en-GB" w:eastAsia="en-GB"/>
    </w:rPr>
  </w:style>
  <w:style w:type="character" w:customStyle="1" w:styleId="WW8Num7z3">
    <w:name w:val="WW8Num7z3"/>
    <w:rPr>
      <w:rFonts w:ascii="Symbol" w:hAnsi="Symbol"/>
      <w:lang w:val="en-GB" w:eastAsia="en-GB"/>
    </w:rPr>
  </w:style>
  <w:style w:type="character" w:customStyle="1" w:styleId="WW8Num7z4">
    <w:name w:val="WW8Num7z4"/>
    <w:rPr>
      <w:rFonts w:ascii="Courier New" w:hAnsi="Courier New" w:cs="Courier New"/>
      <w:lang w:val="en-GB" w:eastAsia="en-GB"/>
    </w:rPr>
  </w:style>
  <w:style w:type="character" w:customStyle="1" w:styleId="WW8Num7z5">
    <w:name w:val="WW8Num7z5"/>
    <w:rPr>
      <w:rFonts w:ascii="Wingdings" w:hAnsi="Wingdings"/>
      <w:lang w:val="en-GB" w:eastAsia="en-GB"/>
    </w:rPr>
  </w:style>
  <w:style w:type="character" w:customStyle="1" w:styleId="WW8Num8z0">
    <w:name w:val="WW8Num8z0"/>
    <w:rPr>
      <w:rFonts w:ascii="Symbol" w:hAnsi="Symbol"/>
      <w:lang w:val="en-GB" w:eastAsia="en-GB"/>
    </w:rPr>
  </w:style>
  <w:style w:type="character" w:customStyle="1" w:styleId="WW8Num8z1">
    <w:name w:val="WW8Num8z1"/>
    <w:rPr>
      <w:rFonts w:ascii="Courier New" w:hAnsi="Courier New" w:cs="Courier New"/>
      <w:lang w:val="en-GB" w:eastAsia="en-GB"/>
    </w:rPr>
  </w:style>
  <w:style w:type="character" w:customStyle="1" w:styleId="WW8Num8z2">
    <w:name w:val="WW8Num8z2"/>
    <w:rPr>
      <w:rFonts w:ascii="Wingdings" w:hAnsi="Wingdings"/>
      <w:lang w:val="en-GB" w:eastAsia="en-GB"/>
    </w:rPr>
  </w:style>
  <w:style w:type="character" w:customStyle="1" w:styleId="WW8Num9z0">
    <w:name w:val="WW8Num9z0"/>
    <w:rPr>
      <w:rFonts w:ascii="Symbol" w:hAnsi="Symbol"/>
      <w:color w:val="000080"/>
      <w:lang w:val="en-GB" w:eastAsia="en-GB"/>
    </w:rPr>
  </w:style>
  <w:style w:type="character" w:customStyle="1" w:styleId="WW8Num9z1">
    <w:name w:val="WW8Num9z1"/>
    <w:rPr>
      <w:rFonts w:ascii="Wingdings" w:hAnsi="Wingdings"/>
      <w:color w:val="61B57C"/>
      <w:lang w:val="en-GB" w:eastAsia="en-GB"/>
    </w:rPr>
  </w:style>
  <w:style w:type="character" w:customStyle="1" w:styleId="WW8Num9z2">
    <w:name w:val="WW8Num9z2"/>
    <w:rPr>
      <w:rFonts w:ascii="Arial" w:eastAsia="MS Mincho" w:hAnsi="Arial" w:cs="Arial"/>
      <w:lang w:val="en-GB" w:eastAsia="en-GB"/>
    </w:rPr>
  </w:style>
  <w:style w:type="character" w:customStyle="1" w:styleId="WW8Num9z3">
    <w:name w:val="WW8Num9z3"/>
    <w:rPr>
      <w:rFonts w:ascii="Symbol" w:hAnsi="Symbol"/>
      <w:lang w:val="en-GB" w:eastAsia="en-GB"/>
    </w:rPr>
  </w:style>
  <w:style w:type="character" w:customStyle="1" w:styleId="WW8Num9z4">
    <w:name w:val="WW8Num9z4"/>
    <w:rPr>
      <w:rFonts w:ascii="Courier New" w:hAnsi="Courier New" w:cs="Courier New"/>
      <w:lang w:val="en-GB" w:eastAsia="en-GB"/>
    </w:rPr>
  </w:style>
  <w:style w:type="character" w:customStyle="1" w:styleId="WW8Num9z5">
    <w:name w:val="WW8Num9z5"/>
    <w:rPr>
      <w:rFonts w:ascii="Wingdings" w:hAnsi="Wingdings"/>
      <w:lang w:val="en-GB" w:eastAsia="en-GB"/>
    </w:rPr>
  </w:style>
  <w:style w:type="character" w:customStyle="1" w:styleId="WW8Num11z0">
    <w:name w:val="WW8Num11z0"/>
    <w:rPr>
      <w:rFonts w:ascii="Symbol" w:hAnsi="Symbol"/>
      <w:color w:val="000080"/>
      <w:lang w:val="en-GB" w:eastAsia="en-GB"/>
    </w:rPr>
  </w:style>
  <w:style w:type="character" w:customStyle="1" w:styleId="WW8Num11z1">
    <w:name w:val="WW8Num11z1"/>
    <w:rPr>
      <w:rFonts w:ascii="Courier New" w:hAnsi="Courier New"/>
      <w:color w:val="000080"/>
      <w:lang w:val="en-GB" w:eastAsia="en-GB"/>
    </w:rPr>
  </w:style>
  <w:style w:type="character" w:customStyle="1" w:styleId="WW8Num11z2">
    <w:name w:val="WW8Num11z2"/>
    <w:rPr>
      <w:rFonts w:ascii="Arial" w:eastAsia="MS Mincho" w:hAnsi="Arial" w:cs="Arial"/>
      <w:lang w:val="en-GB" w:eastAsia="en-GB"/>
    </w:rPr>
  </w:style>
  <w:style w:type="character" w:customStyle="1" w:styleId="WW8Num11z3">
    <w:name w:val="WW8Num11z3"/>
    <w:rPr>
      <w:rFonts w:ascii="Symbol" w:hAnsi="Symbol"/>
      <w:lang w:val="en-GB" w:eastAsia="en-GB"/>
    </w:rPr>
  </w:style>
  <w:style w:type="character" w:customStyle="1" w:styleId="WW8Num11z4">
    <w:name w:val="WW8Num11z4"/>
    <w:rPr>
      <w:rFonts w:ascii="Courier New" w:hAnsi="Courier New" w:cs="Courier New"/>
      <w:lang w:val="en-GB" w:eastAsia="en-GB"/>
    </w:rPr>
  </w:style>
  <w:style w:type="character" w:customStyle="1" w:styleId="WW8Num11z5">
    <w:name w:val="WW8Num11z5"/>
    <w:rPr>
      <w:rFonts w:ascii="Wingdings" w:hAnsi="Wingdings"/>
      <w:lang w:val="en-GB" w:eastAsia="en-GB"/>
    </w:rPr>
  </w:style>
  <w:style w:type="character" w:customStyle="1" w:styleId="WW8Num12z0">
    <w:name w:val="WW8Num12z0"/>
    <w:rPr>
      <w:rFonts w:ascii="Symbol" w:hAnsi="Symbol"/>
      <w:color w:val="61B57C"/>
      <w:w w:val="100"/>
      <w:lang w:val="en-GB" w:eastAsia="en-GB"/>
    </w:rPr>
  </w:style>
  <w:style w:type="character" w:customStyle="1" w:styleId="WW8Num12z1">
    <w:name w:val="WW8Num12z1"/>
    <w:rPr>
      <w:rFonts w:ascii="Courier New" w:hAnsi="Courier New" w:cs="Courier New"/>
      <w:lang w:val="en-GB" w:eastAsia="en-GB"/>
    </w:rPr>
  </w:style>
  <w:style w:type="character" w:customStyle="1" w:styleId="WW8Num12z2">
    <w:name w:val="WW8Num12z2"/>
    <w:rPr>
      <w:rFonts w:ascii="Wingdings" w:hAnsi="Wingdings"/>
      <w:lang w:val="en-GB" w:eastAsia="en-GB"/>
    </w:rPr>
  </w:style>
  <w:style w:type="character" w:customStyle="1" w:styleId="WW8Num12z3">
    <w:name w:val="WW8Num12z3"/>
    <w:rPr>
      <w:rFonts w:ascii="Symbol" w:hAnsi="Symbol"/>
      <w:lang w:val="en-GB" w:eastAsia="en-GB"/>
    </w:rPr>
  </w:style>
  <w:style w:type="character" w:customStyle="1" w:styleId="Policepardfaut1">
    <w:name w:val="Police par défaut1"/>
  </w:style>
  <w:style w:type="character" w:customStyle="1" w:styleId="CarCar2">
    <w:name w:val="Car Car2"/>
    <w:basedOn w:val="Policepardfaut1"/>
  </w:style>
  <w:style w:type="character" w:customStyle="1" w:styleId="CarCar1">
    <w:name w:val="Car Car1"/>
    <w:basedOn w:val="Policepardfaut1"/>
  </w:style>
  <w:style w:type="character" w:customStyle="1" w:styleId="CarCar">
    <w:name w:val="Car Car"/>
    <w:rPr>
      <w:rFonts w:ascii="Lucida Grande" w:hAnsi="Lucida Grande" w:cs="Lucida Grande"/>
      <w:sz w:val="18"/>
      <w:szCs w:val="18"/>
      <w:lang w:val="en-GB" w:eastAsia="en-GB"/>
    </w:rPr>
  </w:style>
  <w:style w:type="character" w:styleId="Hipervnculo">
    <w:name w:val="Hyperlink"/>
    <w:uiPriority w:val="99"/>
    <w:rPr>
      <w:rFonts w:cs="Times New Roman"/>
      <w:color w:val="0000FF"/>
      <w:u w:val="single"/>
      <w:lang w:val="en-GB" w:eastAsia="en-GB"/>
    </w:rPr>
  </w:style>
  <w:style w:type="character" w:customStyle="1" w:styleId="Caractresdenotedebasdepage">
    <w:name w:val="Caractères de note de bas de page"/>
    <w:rPr>
      <w:vertAlign w:val="superscript"/>
      <w:lang w:val="en-GB" w:eastAsia="en-GB"/>
    </w:rPr>
  </w:style>
  <w:style w:type="character" w:customStyle="1" w:styleId="st1">
    <w:name w:val="st1"/>
    <w:basedOn w:val="Policepardfaut1"/>
  </w:style>
  <w:style w:type="character" w:styleId="Nmerodepgina">
    <w:name w:val="page number"/>
    <w:basedOn w:val="Policepardfaut1"/>
    <w:semiHidden/>
  </w:style>
  <w:style w:type="character" w:styleId="Textoennegrita">
    <w:name w:val="Strong"/>
    <w:qFormat/>
    <w:rPr>
      <w:b/>
      <w:bCs/>
      <w:lang w:val="en-GB" w:eastAsia="en-GB"/>
    </w:rPr>
  </w:style>
  <w:style w:type="character" w:customStyle="1" w:styleId="PieddepageCar">
    <w:name w:val="Pied de page Car"/>
    <w:uiPriority w:val="99"/>
    <w:rPr>
      <w:rFonts w:ascii="Cambria" w:eastAsia="MS Mincho" w:hAnsi="Cambria" w:cs="Cambria"/>
      <w:sz w:val="24"/>
      <w:szCs w:val="24"/>
      <w:lang w:val="en-GB" w:eastAsia="en-GB"/>
    </w:rPr>
  </w:style>
  <w:style w:type="character" w:customStyle="1" w:styleId="italique">
    <w:name w:val="italique"/>
  </w:style>
  <w:style w:type="character" w:customStyle="1" w:styleId="Appelnotedebasdep1">
    <w:name w:val="Appel note de bas de p.1"/>
    <w:rPr>
      <w:vertAlign w:val="superscript"/>
      <w:lang w:val="en-GB" w:eastAsia="en-GB"/>
    </w:rPr>
  </w:style>
  <w:style w:type="character" w:customStyle="1" w:styleId="hps">
    <w:name w:val="hps"/>
  </w:style>
  <w:style w:type="paragraph" w:customStyle="1" w:styleId="Titre2">
    <w:name w:val="Titre2"/>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
    <w:name w:val="Titre1"/>
    <w:basedOn w:val="Normal"/>
    <w:next w:val="Textoindependien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Encabezado">
    <w:name w:val="header"/>
    <w:basedOn w:val="Normal"/>
    <w:semiHidden/>
  </w:style>
  <w:style w:type="paragraph" w:styleId="Piedepgina">
    <w:name w:val="footer"/>
    <w:basedOn w:val="Normal"/>
    <w:uiPriority w:val="99"/>
  </w:style>
  <w:style w:type="paragraph" w:styleId="Textodeglobo">
    <w:name w:val="Balloon Text"/>
    <w:basedOn w:val="Normal"/>
    <w:rPr>
      <w:rFonts w:ascii="Lucida Grande" w:hAnsi="Lucida Grande" w:cs="Lucida Grande"/>
      <w:sz w:val="18"/>
      <w:szCs w:val="18"/>
    </w:rPr>
  </w:style>
  <w:style w:type="paragraph" w:customStyle="1" w:styleId="textecontact">
    <w:name w:val="textecontact"/>
    <w:basedOn w:val="Normal"/>
    <w:pPr>
      <w:spacing w:before="280" w:after="280"/>
    </w:pPr>
    <w:rPr>
      <w:rFonts w:ascii="Times New Roman" w:eastAsia="Times New Roman" w:hAnsi="Times New Roman"/>
    </w:rPr>
  </w:style>
  <w:style w:type="paragraph" w:customStyle="1" w:styleId="Textecontact0">
    <w:name w:val="Texte contact"/>
    <w:basedOn w:val="Normal"/>
    <w:pPr>
      <w:spacing w:before="60" w:after="60" w:line="220" w:lineRule="atLeast"/>
      <w:ind w:left="113" w:right="113"/>
      <w:jc w:val="both"/>
    </w:pPr>
    <w:rPr>
      <w:rFonts w:ascii="Arial" w:eastAsia="Times New Roman" w:hAnsi="Arial"/>
      <w:sz w:val="18"/>
      <w:szCs w:val="20"/>
    </w:rPr>
  </w:style>
  <w:style w:type="paragraph" w:customStyle="1" w:styleId="Titrecontact">
    <w:name w:val="Titre contact"/>
    <w:basedOn w:val="Textecontact0"/>
    <w:pPr>
      <w:spacing w:before="0" w:after="0"/>
      <w:ind w:left="0" w:right="0"/>
    </w:pPr>
    <w:rPr>
      <w:b/>
      <w:color w:val="000000"/>
    </w:rPr>
  </w:style>
  <w:style w:type="paragraph" w:styleId="Textonotapie">
    <w:name w:val="footnote text"/>
    <w:basedOn w:val="Normal"/>
    <w:link w:val="TextonotapieCar"/>
    <w:uiPriority w:val="99"/>
    <w:rPr>
      <w:sz w:val="20"/>
      <w:szCs w:val="20"/>
    </w:rPr>
  </w:style>
  <w:style w:type="paragraph" w:customStyle="1" w:styleId="Textedesaisie">
    <w:name w:val="Texte de saisie"/>
    <w:basedOn w:val="Normal"/>
    <w:pPr>
      <w:spacing w:line="260" w:lineRule="atLeast"/>
      <w:jc w:val="both"/>
    </w:pPr>
    <w:rPr>
      <w:rFonts w:ascii="Arial" w:eastAsia="Times New Roman" w:hAnsi="Arial"/>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Textoindependiente"/>
  </w:style>
  <w:style w:type="paragraph" w:styleId="NormalWeb">
    <w:name w:val="Normal (Web)"/>
    <w:basedOn w:val="Normal"/>
    <w:uiPriority w:val="99"/>
    <w:pPr>
      <w:widowControl/>
      <w:spacing w:before="240" w:after="240"/>
    </w:pPr>
    <w:rPr>
      <w:rFonts w:ascii="Times New Roman" w:eastAsia="Times New Roman" w:hAnsi="Times New Roman" w:cs="Times New Roman"/>
    </w:rPr>
  </w:style>
  <w:style w:type="paragraph" w:customStyle="1" w:styleId="Default">
    <w:name w:val="Default"/>
    <w:rsid w:val="00286AFD"/>
    <w:pPr>
      <w:autoSpaceDE w:val="0"/>
      <w:autoSpaceDN w:val="0"/>
      <w:adjustRightInd w:val="0"/>
    </w:pPr>
    <w:rPr>
      <w:rFonts w:ascii="Arial" w:hAnsi="Arial" w:cs="Arial"/>
      <w:color w:val="000000"/>
      <w:sz w:val="24"/>
      <w:szCs w:val="24"/>
      <w:lang w:val="en-GB" w:eastAsia="en-GB"/>
    </w:rPr>
  </w:style>
  <w:style w:type="character" w:customStyle="1" w:styleId="Ttulo6Car">
    <w:name w:val="Título 6 Car"/>
    <w:link w:val="Ttulo6"/>
    <w:uiPriority w:val="9"/>
    <w:rsid w:val="00940D8C"/>
    <w:rPr>
      <w:rFonts w:ascii="Calibri" w:eastAsia="Times New Roman" w:hAnsi="Calibri" w:cs="Times New Roman"/>
      <w:b/>
      <w:bCs/>
      <w:sz w:val="22"/>
      <w:szCs w:val="22"/>
      <w:lang w:val="en-GB" w:eastAsia="en-GB"/>
    </w:rPr>
  </w:style>
  <w:style w:type="paragraph" w:styleId="Prrafodelista">
    <w:name w:val="List Paragraph"/>
    <w:basedOn w:val="Normal"/>
    <w:uiPriority w:val="34"/>
    <w:qFormat/>
    <w:rsid w:val="009C1C3B"/>
    <w:pPr>
      <w:widowControl/>
      <w:spacing w:after="200" w:line="276" w:lineRule="auto"/>
      <w:ind w:left="720"/>
      <w:contextualSpacing/>
    </w:pPr>
    <w:rPr>
      <w:rFonts w:ascii="Calibri" w:eastAsia="Calibri" w:hAnsi="Calibri" w:cs="Times New Roman"/>
      <w:sz w:val="22"/>
      <w:szCs w:val="22"/>
    </w:rPr>
  </w:style>
  <w:style w:type="character" w:styleId="Refdenotaalpie">
    <w:name w:val="footnote reference"/>
    <w:uiPriority w:val="99"/>
    <w:semiHidden/>
    <w:unhideWhenUsed/>
    <w:rsid w:val="00D27875"/>
    <w:rPr>
      <w:vertAlign w:val="superscript"/>
      <w:lang w:val="en-GB" w:eastAsia="en-GB"/>
    </w:rPr>
  </w:style>
  <w:style w:type="character" w:styleId="Refdecomentario">
    <w:name w:val="annotation reference"/>
    <w:uiPriority w:val="99"/>
    <w:semiHidden/>
    <w:unhideWhenUsed/>
    <w:rsid w:val="005E6D3C"/>
    <w:rPr>
      <w:sz w:val="16"/>
      <w:szCs w:val="16"/>
      <w:lang w:val="en-GB" w:eastAsia="en-GB"/>
    </w:rPr>
  </w:style>
  <w:style w:type="paragraph" w:styleId="Textocomentario">
    <w:name w:val="annotation text"/>
    <w:basedOn w:val="Normal"/>
    <w:link w:val="TextocomentarioCar"/>
    <w:uiPriority w:val="99"/>
    <w:semiHidden/>
    <w:unhideWhenUsed/>
    <w:rsid w:val="005E6D3C"/>
    <w:rPr>
      <w:sz w:val="20"/>
      <w:szCs w:val="20"/>
    </w:rPr>
  </w:style>
  <w:style w:type="character" w:customStyle="1" w:styleId="TextocomentarioCar">
    <w:name w:val="Texto comentario Car"/>
    <w:link w:val="Textocomentario"/>
    <w:uiPriority w:val="99"/>
    <w:semiHidden/>
    <w:rsid w:val="005E6D3C"/>
    <w:rPr>
      <w:rFonts w:ascii="Cambria" w:eastAsia="MS Mincho" w:hAnsi="Cambria" w:cs="Cambria"/>
      <w:lang w:val="en-GB" w:eastAsia="en-GB"/>
    </w:rPr>
  </w:style>
  <w:style w:type="paragraph" w:styleId="Asuntodelcomentario">
    <w:name w:val="annotation subject"/>
    <w:basedOn w:val="Textocomentario"/>
    <w:next w:val="Textocomentario"/>
    <w:link w:val="AsuntodelcomentarioCar"/>
    <w:uiPriority w:val="99"/>
    <w:semiHidden/>
    <w:unhideWhenUsed/>
    <w:rsid w:val="005E6D3C"/>
    <w:rPr>
      <w:b/>
      <w:bCs/>
    </w:rPr>
  </w:style>
  <w:style w:type="character" w:customStyle="1" w:styleId="AsuntodelcomentarioCar">
    <w:name w:val="Asunto del comentario Car"/>
    <w:link w:val="Asuntodelcomentario"/>
    <w:uiPriority w:val="99"/>
    <w:semiHidden/>
    <w:rsid w:val="005E6D3C"/>
    <w:rPr>
      <w:rFonts w:ascii="Cambria" w:eastAsia="MS Mincho" w:hAnsi="Cambria" w:cs="Cambria"/>
      <w:b/>
      <w:bCs/>
      <w:lang w:val="en-GB" w:eastAsia="en-GB"/>
    </w:rPr>
  </w:style>
  <w:style w:type="paragraph" w:styleId="Revisin">
    <w:name w:val="Revision"/>
    <w:hidden/>
    <w:uiPriority w:val="99"/>
    <w:semiHidden/>
    <w:rsid w:val="005E6D3C"/>
    <w:rPr>
      <w:rFonts w:ascii="Cambria" w:eastAsia="MS Mincho" w:hAnsi="Cambria" w:cs="Cambria"/>
      <w:sz w:val="24"/>
      <w:szCs w:val="24"/>
      <w:lang w:val="en-GB" w:eastAsia="en-GB"/>
    </w:rPr>
  </w:style>
  <w:style w:type="character" w:customStyle="1" w:styleId="st">
    <w:name w:val="st"/>
    <w:rsid w:val="00E22E3D"/>
  </w:style>
  <w:style w:type="character" w:styleId="nfasis">
    <w:name w:val="Emphasis"/>
    <w:uiPriority w:val="20"/>
    <w:qFormat/>
    <w:rsid w:val="001A5088"/>
    <w:rPr>
      <w:i/>
      <w:iCs/>
      <w:lang w:val="en-GB" w:eastAsia="en-GB"/>
    </w:rPr>
  </w:style>
  <w:style w:type="character" w:customStyle="1" w:styleId="Ttulo4Car">
    <w:name w:val="Título 4 Car"/>
    <w:link w:val="Ttulo4"/>
    <w:uiPriority w:val="9"/>
    <w:semiHidden/>
    <w:rsid w:val="00061639"/>
    <w:rPr>
      <w:rFonts w:ascii="Calibri" w:eastAsia="Times New Roman" w:hAnsi="Calibri" w:cs="Times New Roman"/>
      <w:b/>
      <w:bCs/>
      <w:sz w:val="28"/>
      <w:szCs w:val="28"/>
      <w:lang w:val="en-GB" w:eastAsia="en-GB"/>
    </w:rPr>
  </w:style>
  <w:style w:type="character" w:customStyle="1" w:styleId="TextonotapieCar">
    <w:name w:val="Texto nota pie Car"/>
    <w:link w:val="Textonotapie"/>
    <w:uiPriority w:val="99"/>
    <w:rsid w:val="00866128"/>
    <w:rPr>
      <w:rFonts w:ascii="Cambria" w:eastAsia="MS Mincho" w:hAnsi="Cambria" w:cs="Cambria"/>
      <w:lang w:val="en-GB" w:eastAsia="en-GB"/>
    </w:rPr>
  </w:style>
  <w:style w:type="paragraph" w:styleId="HTMLconformatoprevio">
    <w:name w:val="HTML Preformatted"/>
    <w:basedOn w:val="Normal"/>
    <w:link w:val="HTMLconformatoprevioCar"/>
    <w:uiPriority w:val="99"/>
    <w:semiHidden/>
    <w:unhideWhenUsed/>
    <w:rsid w:val="00335C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conformatoprevioCar">
    <w:name w:val="HTML con formato previo Car"/>
    <w:basedOn w:val="Fuentedeprrafopredeter"/>
    <w:link w:val="HTMLconformatoprevio"/>
    <w:uiPriority w:val="99"/>
    <w:semiHidden/>
    <w:rsid w:val="00335C08"/>
    <w:rPr>
      <w:rFonts w:ascii="Courier New" w:hAnsi="Courier New" w:cs="Courier New"/>
      <w:lang w:val="fr-FR" w:eastAsia="fr-FR"/>
    </w:rPr>
  </w:style>
  <w:style w:type="paragraph" w:styleId="Textonotaalfinal">
    <w:name w:val="endnote text"/>
    <w:basedOn w:val="Normal"/>
    <w:link w:val="TextonotaalfinalCar"/>
    <w:uiPriority w:val="99"/>
    <w:semiHidden/>
    <w:unhideWhenUsed/>
    <w:rsid w:val="000A1B81"/>
    <w:rPr>
      <w:sz w:val="20"/>
      <w:szCs w:val="20"/>
    </w:rPr>
  </w:style>
  <w:style w:type="character" w:customStyle="1" w:styleId="TextonotaalfinalCar">
    <w:name w:val="Texto nota al final Car"/>
    <w:basedOn w:val="Fuentedeprrafopredeter"/>
    <w:link w:val="Textonotaalfinal"/>
    <w:uiPriority w:val="99"/>
    <w:semiHidden/>
    <w:rsid w:val="000A1B81"/>
    <w:rPr>
      <w:rFonts w:ascii="Cambria" w:eastAsia="MS Mincho" w:hAnsi="Cambria" w:cs="Cambria"/>
      <w:lang w:val="en-GB" w:eastAsia="en-GB"/>
    </w:rPr>
  </w:style>
  <w:style w:type="character" w:styleId="Refdenotaalfinal">
    <w:name w:val="endnote reference"/>
    <w:basedOn w:val="Fuentedeprrafopredeter"/>
    <w:uiPriority w:val="99"/>
    <w:semiHidden/>
    <w:unhideWhenUsed/>
    <w:rsid w:val="000A1B81"/>
    <w:rPr>
      <w:vertAlign w:val="superscript"/>
    </w:rPr>
  </w:style>
  <w:style w:type="character" w:styleId="Hipervnculovisitado">
    <w:name w:val="FollowedHyperlink"/>
    <w:basedOn w:val="Fuentedeprrafopredeter"/>
    <w:uiPriority w:val="99"/>
    <w:semiHidden/>
    <w:unhideWhenUsed/>
    <w:rsid w:val="00CC52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8024">
      <w:bodyDiv w:val="1"/>
      <w:marLeft w:val="0"/>
      <w:marRight w:val="0"/>
      <w:marTop w:val="0"/>
      <w:marBottom w:val="0"/>
      <w:divBdr>
        <w:top w:val="none" w:sz="0" w:space="0" w:color="auto"/>
        <w:left w:val="none" w:sz="0" w:space="0" w:color="auto"/>
        <w:bottom w:val="none" w:sz="0" w:space="0" w:color="auto"/>
        <w:right w:val="none" w:sz="0" w:space="0" w:color="auto"/>
      </w:divBdr>
    </w:div>
    <w:div w:id="41563038">
      <w:bodyDiv w:val="1"/>
      <w:marLeft w:val="0"/>
      <w:marRight w:val="0"/>
      <w:marTop w:val="0"/>
      <w:marBottom w:val="0"/>
      <w:divBdr>
        <w:top w:val="none" w:sz="0" w:space="0" w:color="auto"/>
        <w:left w:val="none" w:sz="0" w:space="0" w:color="auto"/>
        <w:bottom w:val="none" w:sz="0" w:space="0" w:color="auto"/>
        <w:right w:val="none" w:sz="0" w:space="0" w:color="auto"/>
      </w:divBdr>
    </w:div>
    <w:div w:id="52243714">
      <w:bodyDiv w:val="1"/>
      <w:marLeft w:val="0"/>
      <w:marRight w:val="0"/>
      <w:marTop w:val="0"/>
      <w:marBottom w:val="0"/>
      <w:divBdr>
        <w:top w:val="none" w:sz="0" w:space="0" w:color="auto"/>
        <w:left w:val="none" w:sz="0" w:space="0" w:color="auto"/>
        <w:bottom w:val="none" w:sz="0" w:space="0" w:color="auto"/>
        <w:right w:val="none" w:sz="0" w:space="0" w:color="auto"/>
      </w:divBdr>
    </w:div>
    <w:div w:id="63794414">
      <w:bodyDiv w:val="1"/>
      <w:marLeft w:val="0"/>
      <w:marRight w:val="0"/>
      <w:marTop w:val="0"/>
      <w:marBottom w:val="0"/>
      <w:divBdr>
        <w:top w:val="none" w:sz="0" w:space="0" w:color="auto"/>
        <w:left w:val="none" w:sz="0" w:space="0" w:color="auto"/>
        <w:bottom w:val="none" w:sz="0" w:space="0" w:color="auto"/>
        <w:right w:val="none" w:sz="0" w:space="0" w:color="auto"/>
      </w:divBdr>
    </w:div>
    <w:div w:id="67770067">
      <w:bodyDiv w:val="1"/>
      <w:marLeft w:val="0"/>
      <w:marRight w:val="0"/>
      <w:marTop w:val="0"/>
      <w:marBottom w:val="0"/>
      <w:divBdr>
        <w:top w:val="none" w:sz="0" w:space="0" w:color="auto"/>
        <w:left w:val="none" w:sz="0" w:space="0" w:color="auto"/>
        <w:bottom w:val="none" w:sz="0" w:space="0" w:color="auto"/>
        <w:right w:val="none" w:sz="0" w:space="0" w:color="auto"/>
      </w:divBdr>
    </w:div>
    <w:div w:id="116797022">
      <w:bodyDiv w:val="1"/>
      <w:marLeft w:val="0"/>
      <w:marRight w:val="0"/>
      <w:marTop w:val="0"/>
      <w:marBottom w:val="0"/>
      <w:divBdr>
        <w:top w:val="none" w:sz="0" w:space="0" w:color="auto"/>
        <w:left w:val="none" w:sz="0" w:space="0" w:color="auto"/>
        <w:bottom w:val="none" w:sz="0" w:space="0" w:color="auto"/>
        <w:right w:val="none" w:sz="0" w:space="0" w:color="auto"/>
      </w:divBdr>
    </w:div>
    <w:div w:id="123811623">
      <w:bodyDiv w:val="1"/>
      <w:marLeft w:val="0"/>
      <w:marRight w:val="0"/>
      <w:marTop w:val="0"/>
      <w:marBottom w:val="0"/>
      <w:divBdr>
        <w:top w:val="none" w:sz="0" w:space="0" w:color="auto"/>
        <w:left w:val="none" w:sz="0" w:space="0" w:color="auto"/>
        <w:bottom w:val="none" w:sz="0" w:space="0" w:color="auto"/>
        <w:right w:val="none" w:sz="0" w:space="0" w:color="auto"/>
      </w:divBdr>
    </w:div>
    <w:div w:id="185750475">
      <w:bodyDiv w:val="1"/>
      <w:marLeft w:val="0"/>
      <w:marRight w:val="0"/>
      <w:marTop w:val="0"/>
      <w:marBottom w:val="0"/>
      <w:divBdr>
        <w:top w:val="none" w:sz="0" w:space="0" w:color="auto"/>
        <w:left w:val="none" w:sz="0" w:space="0" w:color="auto"/>
        <w:bottom w:val="none" w:sz="0" w:space="0" w:color="auto"/>
        <w:right w:val="none" w:sz="0" w:space="0" w:color="auto"/>
      </w:divBdr>
    </w:div>
    <w:div w:id="249706313">
      <w:bodyDiv w:val="1"/>
      <w:marLeft w:val="0"/>
      <w:marRight w:val="0"/>
      <w:marTop w:val="0"/>
      <w:marBottom w:val="0"/>
      <w:divBdr>
        <w:top w:val="none" w:sz="0" w:space="0" w:color="auto"/>
        <w:left w:val="none" w:sz="0" w:space="0" w:color="auto"/>
        <w:bottom w:val="none" w:sz="0" w:space="0" w:color="auto"/>
        <w:right w:val="none" w:sz="0" w:space="0" w:color="auto"/>
      </w:divBdr>
    </w:div>
    <w:div w:id="255335112">
      <w:bodyDiv w:val="1"/>
      <w:marLeft w:val="0"/>
      <w:marRight w:val="0"/>
      <w:marTop w:val="0"/>
      <w:marBottom w:val="0"/>
      <w:divBdr>
        <w:top w:val="none" w:sz="0" w:space="0" w:color="auto"/>
        <w:left w:val="none" w:sz="0" w:space="0" w:color="auto"/>
        <w:bottom w:val="none" w:sz="0" w:space="0" w:color="auto"/>
        <w:right w:val="none" w:sz="0" w:space="0" w:color="auto"/>
      </w:divBdr>
      <w:divsChild>
        <w:div w:id="208691023">
          <w:marLeft w:val="360"/>
          <w:marRight w:val="0"/>
          <w:marTop w:val="0"/>
          <w:marBottom w:val="0"/>
          <w:divBdr>
            <w:top w:val="none" w:sz="0" w:space="0" w:color="auto"/>
            <w:left w:val="none" w:sz="0" w:space="0" w:color="auto"/>
            <w:bottom w:val="none" w:sz="0" w:space="0" w:color="auto"/>
            <w:right w:val="none" w:sz="0" w:space="0" w:color="auto"/>
          </w:divBdr>
        </w:div>
      </w:divsChild>
    </w:div>
    <w:div w:id="279649792">
      <w:bodyDiv w:val="1"/>
      <w:marLeft w:val="0"/>
      <w:marRight w:val="0"/>
      <w:marTop w:val="0"/>
      <w:marBottom w:val="0"/>
      <w:divBdr>
        <w:top w:val="none" w:sz="0" w:space="0" w:color="auto"/>
        <w:left w:val="none" w:sz="0" w:space="0" w:color="auto"/>
        <w:bottom w:val="none" w:sz="0" w:space="0" w:color="auto"/>
        <w:right w:val="none" w:sz="0" w:space="0" w:color="auto"/>
      </w:divBdr>
    </w:div>
    <w:div w:id="295530899">
      <w:bodyDiv w:val="1"/>
      <w:marLeft w:val="0"/>
      <w:marRight w:val="0"/>
      <w:marTop w:val="0"/>
      <w:marBottom w:val="0"/>
      <w:divBdr>
        <w:top w:val="none" w:sz="0" w:space="0" w:color="auto"/>
        <w:left w:val="none" w:sz="0" w:space="0" w:color="auto"/>
        <w:bottom w:val="none" w:sz="0" w:space="0" w:color="auto"/>
        <w:right w:val="none" w:sz="0" w:space="0" w:color="auto"/>
      </w:divBdr>
    </w:div>
    <w:div w:id="305204869">
      <w:bodyDiv w:val="1"/>
      <w:marLeft w:val="0"/>
      <w:marRight w:val="0"/>
      <w:marTop w:val="0"/>
      <w:marBottom w:val="0"/>
      <w:divBdr>
        <w:top w:val="none" w:sz="0" w:space="0" w:color="auto"/>
        <w:left w:val="none" w:sz="0" w:space="0" w:color="auto"/>
        <w:bottom w:val="none" w:sz="0" w:space="0" w:color="auto"/>
        <w:right w:val="none" w:sz="0" w:space="0" w:color="auto"/>
      </w:divBdr>
    </w:div>
    <w:div w:id="327681279">
      <w:bodyDiv w:val="1"/>
      <w:marLeft w:val="0"/>
      <w:marRight w:val="0"/>
      <w:marTop w:val="0"/>
      <w:marBottom w:val="0"/>
      <w:divBdr>
        <w:top w:val="none" w:sz="0" w:space="0" w:color="auto"/>
        <w:left w:val="none" w:sz="0" w:space="0" w:color="auto"/>
        <w:bottom w:val="none" w:sz="0" w:space="0" w:color="auto"/>
        <w:right w:val="none" w:sz="0" w:space="0" w:color="auto"/>
      </w:divBdr>
    </w:div>
    <w:div w:id="357048093">
      <w:bodyDiv w:val="1"/>
      <w:marLeft w:val="0"/>
      <w:marRight w:val="0"/>
      <w:marTop w:val="0"/>
      <w:marBottom w:val="0"/>
      <w:divBdr>
        <w:top w:val="none" w:sz="0" w:space="0" w:color="auto"/>
        <w:left w:val="none" w:sz="0" w:space="0" w:color="auto"/>
        <w:bottom w:val="none" w:sz="0" w:space="0" w:color="auto"/>
        <w:right w:val="none" w:sz="0" w:space="0" w:color="auto"/>
      </w:divBdr>
    </w:div>
    <w:div w:id="406925687">
      <w:bodyDiv w:val="1"/>
      <w:marLeft w:val="0"/>
      <w:marRight w:val="0"/>
      <w:marTop w:val="0"/>
      <w:marBottom w:val="0"/>
      <w:divBdr>
        <w:top w:val="none" w:sz="0" w:space="0" w:color="auto"/>
        <w:left w:val="none" w:sz="0" w:space="0" w:color="auto"/>
        <w:bottom w:val="none" w:sz="0" w:space="0" w:color="auto"/>
        <w:right w:val="none" w:sz="0" w:space="0" w:color="auto"/>
      </w:divBdr>
    </w:div>
    <w:div w:id="418136962">
      <w:bodyDiv w:val="1"/>
      <w:marLeft w:val="0"/>
      <w:marRight w:val="0"/>
      <w:marTop w:val="0"/>
      <w:marBottom w:val="0"/>
      <w:divBdr>
        <w:top w:val="none" w:sz="0" w:space="0" w:color="auto"/>
        <w:left w:val="none" w:sz="0" w:space="0" w:color="auto"/>
        <w:bottom w:val="none" w:sz="0" w:space="0" w:color="auto"/>
        <w:right w:val="none" w:sz="0" w:space="0" w:color="auto"/>
      </w:divBdr>
    </w:div>
    <w:div w:id="437215646">
      <w:bodyDiv w:val="1"/>
      <w:marLeft w:val="0"/>
      <w:marRight w:val="0"/>
      <w:marTop w:val="0"/>
      <w:marBottom w:val="0"/>
      <w:divBdr>
        <w:top w:val="none" w:sz="0" w:space="0" w:color="auto"/>
        <w:left w:val="none" w:sz="0" w:space="0" w:color="auto"/>
        <w:bottom w:val="none" w:sz="0" w:space="0" w:color="auto"/>
        <w:right w:val="none" w:sz="0" w:space="0" w:color="auto"/>
      </w:divBdr>
    </w:div>
    <w:div w:id="462845786">
      <w:bodyDiv w:val="1"/>
      <w:marLeft w:val="0"/>
      <w:marRight w:val="0"/>
      <w:marTop w:val="0"/>
      <w:marBottom w:val="0"/>
      <w:divBdr>
        <w:top w:val="none" w:sz="0" w:space="0" w:color="auto"/>
        <w:left w:val="none" w:sz="0" w:space="0" w:color="auto"/>
        <w:bottom w:val="none" w:sz="0" w:space="0" w:color="auto"/>
        <w:right w:val="none" w:sz="0" w:space="0" w:color="auto"/>
      </w:divBdr>
    </w:div>
    <w:div w:id="476922266">
      <w:bodyDiv w:val="1"/>
      <w:marLeft w:val="0"/>
      <w:marRight w:val="0"/>
      <w:marTop w:val="0"/>
      <w:marBottom w:val="0"/>
      <w:divBdr>
        <w:top w:val="none" w:sz="0" w:space="0" w:color="auto"/>
        <w:left w:val="none" w:sz="0" w:space="0" w:color="auto"/>
        <w:bottom w:val="none" w:sz="0" w:space="0" w:color="auto"/>
        <w:right w:val="none" w:sz="0" w:space="0" w:color="auto"/>
      </w:divBdr>
    </w:div>
    <w:div w:id="504705620">
      <w:bodyDiv w:val="1"/>
      <w:marLeft w:val="0"/>
      <w:marRight w:val="0"/>
      <w:marTop w:val="0"/>
      <w:marBottom w:val="0"/>
      <w:divBdr>
        <w:top w:val="none" w:sz="0" w:space="0" w:color="auto"/>
        <w:left w:val="none" w:sz="0" w:space="0" w:color="auto"/>
        <w:bottom w:val="none" w:sz="0" w:space="0" w:color="auto"/>
        <w:right w:val="none" w:sz="0" w:space="0" w:color="auto"/>
      </w:divBdr>
    </w:div>
    <w:div w:id="521286203">
      <w:bodyDiv w:val="1"/>
      <w:marLeft w:val="0"/>
      <w:marRight w:val="0"/>
      <w:marTop w:val="0"/>
      <w:marBottom w:val="0"/>
      <w:divBdr>
        <w:top w:val="none" w:sz="0" w:space="0" w:color="auto"/>
        <w:left w:val="none" w:sz="0" w:space="0" w:color="auto"/>
        <w:bottom w:val="none" w:sz="0" w:space="0" w:color="auto"/>
        <w:right w:val="none" w:sz="0" w:space="0" w:color="auto"/>
      </w:divBdr>
    </w:div>
    <w:div w:id="544487021">
      <w:bodyDiv w:val="1"/>
      <w:marLeft w:val="0"/>
      <w:marRight w:val="0"/>
      <w:marTop w:val="0"/>
      <w:marBottom w:val="0"/>
      <w:divBdr>
        <w:top w:val="none" w:sz="0" w:space="0" w:color="auto"/>
        <w:left w:val="none" w:sz="0" w:space="0" w:color="auto"/>
        <w:bottom w:val="none" w:sz="0" w:space="0" w:color="auto"/>
        <w:right w:val="none" w:sz="0" w:space="0" w:color="auto"/>
      </w:divBdr>
    </w:div>
    <w:div w:id="550927394">
      <w:bodyDiv w:val="1"/>
      <w:marLeft w:val="0"/>
      <w:marRight w:val="0"/>
      <w:marTop w:val="0"/>
      <w:marBottom w:val="0"/>
      <w:divBdr>
        <w:top w:val="none" w:sz="0" w:space="0" w:color="auto"/>
        <w:left w:val="none" w:sz="0" w:space="0" w:color="auto"/>
        <w:bottom w:val="none" w:sz="0" w:space="0" w:color="auto"/>
        <w:right w:val="none" w:sz="0" w:space="0" w:color="auto"/>
      </w:divBdr>
    </w:div>
    <w:div w:id="604768088">
      <w:bodyDiv w:val="1"/>
      <w:marLeft w:val="0"/>
      <w:marRight w:val="0"/>
      <w:marTop w:val="0"/>
      <w:marBottom w:val="0"/>
      <w:divBdr>
        <w:top w:val="none" w:sz="0" w:space="0" w:color="auto"/>
        <w:left w:val="none" w:sz="0" w:space="0" w:color="auto"/>
        <w:bottom w:val="none" w:sz="0" w:space="0" w:color="auto"/>
        <w:right w:val="none" w:sz="0" w:space="0" w:color="auto"/>
      </w:divBdr>
      <w:divsChild>
        <w:div w:id="1491168499">
          <w:marLeft w:val="432"/>
          <w:marRight w:val="0"/>
          <w:marTop w:val="0"/>
          <w:marBottom w:val="0"/>
          <w:divBdr>
            <w:top w:val="none" w:sz="0" w:space="0" w:color="auto"/>
            <w:left w:val="none" w:sz="0" w:space="0" w:color="auto"/>
            <w:bottom w:val="none" w:sz="0" w:space="0" w:color="auto"/>
            <w:right w:val="none" w:sz="0" w:space="0" w:color="auto"/>
          </w:divBdr>
        </w:div>
        <w:div w:id="66077815">
          <w:marLeft w:val="432"/>
          <w:marRight w:val="0"/>
          <w:marTop w:val="0"/>
          <w:marBottom w:val="0"/>
          <w:divBdr>
            <w:top w:val="none" w:sz="0" w:space="0" w:color="auto"/>
            <w:left w:val="none" w:sz="0" w:space="0" w:color="auto"/>
            <w:bottom w:val="none" w:sz="0" w:space="0" w:color="auto"/>
            <w:right w:val="none" w:sz="0" w:space="0" w:color="auto"/>
          </w:divBdr>
        </w:div>
      </w:divsChild>
    </w:div>
    <w:div w:id="620573536">
      <w:bodyDiv w:val="1"/>
      <w:marLeft w:val="0"/>
      <w:marRight w:val="0"/>
      <w:marTop w:val="0"/>
      <w:marBottom w:val="0"/>
      <w:divBdr>
        <w:top w:val="none" w:sz="0" w:space="0" w:color="auto"/>
        <w:left w:val="none" w:sz="0" w:space="0" w:color="auto"/>
        <w:bottom w:val="none" w:sz="0" w:space="0" w:color="auto"/>
        <w:right w:val="none" w:sz="0" w:space="0" w:color="auto"/>
      </w:divBdr>
    </w:div>
    <w:div w:id="627052950">
      <w:bodyDiv w:val="1"/>
      <w:marLeft w:val="0"/>
      <w:marRight w:val="0"/>
      <w:marTop w:val="0"/>
      <w:marBottom w:val="0"/>
      <w:divBdr>
        <w:top w:val="none" w:sz="0" w:space="0" w:color="auto"/>
        <w:left w:val="none" w:sz="0" w:space="0" w:color="auto"/>
        <w:bottom w:val="none" w:sz="0" w:space="0" w:color="auto"/>
        <w:right w:val="none" w:sz="0" w:space="0" w:color="auto"/>
      </w:divBdr>
    </w:div>
    <w:div w:id="630328970">
      <w:bodyDiv w:val="1"/>
      <w:marLeft w:val="0"/>
      <w:marRight w:val="0"/>
      <w:marTop w:val="0"/>
      <w:marBottom w:val="0"/>
      <w:divBdr>
        <w:top w:val="none" w:sz="0" w:space="0" w:color="auto"/>
        <w:left w:val="none" w:sz="0" w:space="0" w:color="auto"/>
        <w:bottom w:val="none" w:sz="0" w:space="0" w:color="auto"/>
        <w:right w:val="none" w:sz="0" w:space="0" w:color="auto"/>
      </w:divBdr>
      <w:divsChild>
        <w:div w:id="767310559">
          <w:marLeft w:val="432"/>
          <w:marRight w:val="0"/>
          <w:marTop w:val="0"/>
          <w:marBottom w:val="0"/>
          <w:divBdr>
            <w:top w:val="none" w:sz="0" w:space="0" w:color="auto"/>
            <w:left w:val="none" w:sz="0" w:space="0" w:color="auto"/>
            <w:bottom w:val="none" w:sz="0" w:space="0" w:color="auto"/>
            <w:right w:val="none" w:sz="0" w:space="0" w:color="auto"/>
          </w:divBdr>
        </w:div>
      </w:divsChild>
    </w:div>
    <w:div w:id="631325104">
      <w:bodyDiv w:val="1"/>
      <w:marLeft w:val="0"/>
      <w:marRight w:val="0"/>
      <w:marTop w:val="0"/>
      <w:marBottom w:val="0"/>
      <w:divBdr>
        <w:top w:val="none" w:sz="0" w:space="0" w:color="auto"/>
        <w:left w:val="none" w:sz="0" w:space="0" w:color="auto"/>
        <w:bottom w:val="none" w:sz="0" w:space="0" w:color="auto"/>
        <w:right w:val="none" w:sz="0" w:space="0" w:color="auto"/>
      </w:divBdr>
    </w:div>
    <w:div w:id="642348332">
      <w:bodyDiv w:val="1"/>
      <w:marLeft w:val="0"/>
      <w:marRight w:val="0"/>
      <w:marTop w:val="0"/>
      <w:marBottom w:val="0"/>
      <w:divBdr>
        <w:top w:val="none" w:sz="0" w:space="0" w:color="auto"/>
        <w:left w:val="none" w:sz="0" w:space="0" w:color="auto"/>
        <w:bottom w:val="none" w:sz="0" w:space="0" w:color="auto"/>
        <w:right w:val="none" w:sz="0" w:space="0" w:color="auto"/>
      </w:divBdr>
    </w:div>
    <w:div w:id="663122015">
      <w:bodyDiv w:val="1"/>
      <w:marLeft w:val="0"/>
      <w:marRight w:val="0"/>
      <w:marTop w:val="0"/>
      <w:marBottom w:val="0"/>
      <w:divBdr>
        <w:top w:val="none" w:sz="0" w:space="0" w:color="auto"/>
        <w:left w:val="none" w:sz="0" w:space="0" w:color="auto"/>
        <w:bottom w:val="none" w:sz="0" w:space="0" w:color="auto"/>
        <w:right w:val="none" w:sz="0" w:space="0" w:color="auto"/>
      </w:divBdr>
    </w:div>
    <w:div w:id="671759238">
      <w:bodyDiv w:val="1"/>
      <w:marLeft w:val="0"/>
      <w:marRight w:val="0"/>
      <w:marTop w:val="0"/>
      <w:marBottom w:val="0"/>
      <w:divBdr>
        <w:top w:val="none" w:sz="0" w:space="0" w:color="auto"/>
        <w:left w:val="none" w:sz="0" w:space="0" w:color="auto"/>
        <w:bottom w:val="none" w:sz="0" w:space="0" w:color="auto"/>
        <w:right w:val="none" w:sz="0" w:space="0" w:color="auto"/>
      </w:divBdr>
    </w:div>
    <w:div w:id="679241736">
      <w:bodyDiv w:val="1"/>
      <w:marLeft w:val="0"/>
      <w:marRight w:val="0"/>
      <w:marTop w:val="0"/>
      <w:marBottom w:val="0"/>
      <w:divBdr>
        <w:top w:val="none" w:sz="0" w:space="0" w:color="auto"/>
        <w:left w:val="none" w:sz="0" w:space="0" w:color="auto"/>
        <w:bottom w:val="none" w:sz="0" w:space="0" w:color="auto"/>
        <w:right w:val="none" w:sz="0" w:space="0" w:color="auto"/>
      </w:divBdr>
    </w:div>
    <w:div w:id="688719071">
      <w:bodyDiv w:val="1"/>
      <w:marLeft w:val="0"/>
      <w:marRight w:val="0"/>
      <w:marTop w:val="0"/>
      <w:marBottom w:val="0"/>
      <w:divBdr>
        <w:top w:val="none" w:sz="0" w:space="0" w:color="auto"/>
        <w:left w:val="none" w:sz="0" w:space="0" w:color="auto"/>
        <w:bottom w:val="none" w:sz="0" w:space="0" w:color="auto"/>
        <w:right w:val="none" w:sz="0" w:space="0" w:color="auto"/>
      </w:divBdr>
      <w:divsChild>
        <w:div w:id="1908300837">
          <w:marLeft w:val="0"/>
          <w:marRight w:val="0"/>
          <w:marTop w:val="0"/>
          <w:marBottom w:val="0"/>
          <w:divBdr>
            <w:top w:val="none" w:sz="0" w:space="0" w:color="auto"/>
            <w:left w:val="none" w:sz="0" w:space="0" w:color="auto"/>
            <w:bottom w:val="none" w:sz="0" w:space="0" w:color="auto"/>
            <w:right w:val="none" w:sz="0" w:space="0" w:color="auto"/>
          </w:divBdr>
          <w:divsChild>
            <w:div w:id="1549535876">
              <w:marLeft w:val="0"/>
              <w:marRight w:val="0"/>
              <w:marTop w:val="0"/>
              <w:marBottom w:val="0"/>
              <w:divBdr>
                <w:top w:val="none" w:sz="0" w:space="0" w:color="auto"/>
                <w:left w:val="none" w:sz="0" w:space="0" w:color="auto"/>
                <w:bottom w:val="none" w:sz="0" w:space="0" w:color="auto"/>
                <w:right w:val="none" w:sz="0" w:space="0" w:color="auto"/>
              </w:divBdr>
              <w:divsChild>
                <w:div w:id="19761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7234">
      <w:bodyDiv w:val="1"/>
      <w:marLeft w:val="0"/>
      <w:marRight w:val="0"/>
      <w:marTop w:val="0"/>
      <w:marBottom w:val="0"/>
      <w:divBdr>
        <w:top w:val="none" w:sz="0" w:space="0" w:color="auto"/>
        <w:left w:val="none" w:sz="0" w:space="0" w:color="auto"/>
        <w:bottom w:val="none" w:sz="0" w:space="0" w:color="auto"/>
        <w:right w:val="none" w:sz="0" w:space="0" w:color="auto"/>
      </w:divBdr>
    </w:div>
    <w:div w:id="722750030">
      <w:bodyDiv w:val="1"/>
      <w:marLeft w:val="0"/>
      <w:marRight w:val="0"/>
      <w:marTop w:val="0"/>
      <w:marBottom w:val="0"/>
      <w:divBdr>
        <w:top w:val="none" w:sz="0" w:space="0" w:color="auto"/>
        <w:left w:val="none" w:sz="0" w:space="0" w:color="auto"/>
        <w:bottom w:val="none" w:sz="0" w:space="0" w:color="auto"/>
        <w:right w:val="none" w:sz="0" w:space="0" w:color="auto"/>
      </w:divBdr>
      <w:divsChild>
        <w:div w:id="29498434">
          <w:marLeft w:val="432"/>
          <w:marRight w:val="0"/>
          <w:marTop w:val="0"/>
          <w:marBottom w:val="0"/>
          <w:divBdr>
            <w:top w:val="none" w:sz="0" w:space="0" w:color="auto"/>
            <w:left w:val="none" w:sz="0" w:space="0" w:color="auto"/>
            <w:bottom w:val="none" w:sz="0" w:space="0" w:color="auto"/>
            <w:right w:val="none" w:sz="0" w:space="0" w:color="auto"/>
          </w:divBdr>
        </w:div>
      </w:divsChild>
    </w:div>
    <w:div w:id="723986737">
      <w:bodyDiv w:val="1"/>
      <w:marLeft w:val="0"/>
      <w:marRight w:val="0"/>
      <w:marTop w:val="0"/>
      <w:marBottom w:val="0"/>
      <w:divBdr>
        <w:top w:val="none" w:sz="0" w:space="0" w:color="auto"/>
        <w:left w:val="none" w:sz="0" w:space="0" w:color="auto"/>
        <w:bottom w:val="none" w:sz="0" w:space="0" w:color="auto"/>
        <w:right w:val="none" w:sz="0" w:space="0" w:color="auto"/>
      </w:divBdr>
    </w:div>
    <w:div w:id="736241809">
      <w:bodyDiv w:val="1"/>
      <w:marLeft w:val="0"/>
      <w:marRight w:val="0"/>
      <w:marTop w:val="0"/>
      <w:marBottom w:val="0"/>
      <w:divBdr>
        <w:top w:val="none" w:sz="0" w:space="0" w:color="auto"/>
        <w:left w:val="none" w:sz="0" w:space="0" w:color="auto"/>
        <w:bottom w:val="none" w:sz="0" w:space="0" w:color="auto"/>
        <w:right w:val="none" w:sz="0" w:space="0" w:color="auto"/>
      </w:divBdr>
      <w:divsChild>
        <w:div w:id="601962397">
          <w:marLeft w:val="432"/>
          <w:marRight w:val="0"/>
          <w:marTop w:val="0"/>
          <w:marBottom w:val="0"/>
          <w:divBdr>
            <w:top w:val="none" w:sz="0" w:space="0" w:color="auto"/>
            <w:left w:val="none" w:sz="0" w:space="0" w:color="auto"/>
            <w:bottom w:val="none" w:sz="0" w:space="0" w:color="auto"/>
            <w:right w:val="none" w:sz="0" w:space="0" w:color="auto"/>
          </w:divBdr>
        </w:div>
        <w:div w:id="372924394">
          <w:marLeft w:val="432"/>
          <w:marRight w:val="0"/>
          <w:marTop w:val="0"/>
          <w:marBottom w:val="0"/>
          <w:divBdr>
            <w:top w:val="none" w:sz="0" w:space="0" w:color="auto"/>
            <w:left w:val="none" w:sz="0" w:space="0" w:color="auto"/>
            <w:bottom w:val="none" w:sz="0" w:space="0" w:color="auto"/>
            <w:right w:val="none" w:sz="0" w:space="0" w:color="auto"/>
          </w:divBdr>
        </w:div>
      </w:divsChild>
    </w:div>
    <w:div w:id="742608257">
      <w:bodyDiv w:val="1"/>
      <w:marLeft w:val="0"/>
      <w:marRight w:val="0"/>
      <w:marTop w:val="0"/>
      <w:marBottom w:val="0"/>
      <w:divBdr>
        <w:top w:val="none" w:sz="0" w:space="0" w:color="auto"/>
        <w:left w:val="none" w:sz="0" w:space="0" w:color="auto"/>
        <w:bottom w:val="none" w:sz="0" w:space="0" w:color="auto"/>
        <w:right w:val="none" w:sz="0" w:space="0" w:color="auto"/>
      </w:divBdr>
    </w:div>
    <w:div w:id="757825478">
      <w:bodyDiv w:val="1"/>
      <w:marLeft w:val="0"/>
      <w:marRight w:val="0"/>
      <w:marTop w:val="0"/>
      <w:marBottom w:val="0"/>
      <w:divBdr>
        <w:top w:val="none" w:sz="0" w:space="0" w:color="auto"/>
        <w:left w:val="none" w:sz="0" w:space="0" w:color="auto"/>
        <w:bottom w:val="none" w:sz="0" w:space="0" w:color="auto"/>
        <w:right w:val="none" w:sz="0" w:space="0" w:color="auto"/>
      </w:divBdr>
    </w:div>
    <w:div w:id="775366839">
      <w:bodyDiv w:val="1"/>
      <w:marLeft w:val="0"/>
      <w:marRight w:val="0"/>
      <w:marTop w:val="0"/>
      <w:marBottom w:val="0"/>
      <w:divBdr>
        <w:top w:val="none" w:sz="0" w:space="0" w:color="auto"/>
        <w:left w:val="none" w:sz="0" w:space="0" w:color="auto"/>
        <w:bottom w:val="none" w:sz="0" w:space="0" w:color="auto"/>
        <w:right w:val="none" w:sz="0" w:space="0" w:color="auto"/>
      </w:divBdr>
    </w:div>
    <w:div w:id="839849745">
      <w:bodyDiv w:val="1"/>
      <w:marLeft w:val="0"/>
      <w:marRight w:val="0"/>
      <w:marTop w:val="0"/>
      <w:marBottom w:val="0"/>
      <w:divBdr>
        <w:top w:val="none" w:sz="0" w:space="0" w:color="auto"/>
        <w:left w:val="none" w:sz="0" w:space="0" w:color="auto"/>
        <w:bottom w:val="none" w:sz="0" w:space="0" w:color="auto"/>
        <w:right w:val="none" w:sz="0" w:space="0" w:color="auto"/>
      </w:divBdr>
    </w:div>
    <w:div w:id="845558388">
      <w:bodyDiv w:val="1"/>
      <w:marLeft w:val="0"/>
      <w:marRight w:val="0"/>
      <w:marTop w:val="0"/>
      <w:marBottom w:val="0"/>
      <w:divBdr>
        <w:top w:val="none" w:sz="0" w:space="0" w:color="auto"/>
        <w:left w:val="none" w:sz="0" w:space="0" w:color="auto"/>
        <w:bottom w:val="none" w:sz="0" w:space="0" w:color="auto"/>
        <w:right w:val="none" w:sz="0" w:space="0" w:color="auto"/>
      </w:divBdr>
    </w:div>
    <w:div w:id="873925501">
      <w:bodyDiv w:val="1"/>
      <w:marLeft w:val="0"/>
      <w:marRight w:val="0"/>
      <w:marTop w:val="0"/>
      <w:marBottom w:val="0"/>
      <w:divBdr>
        <w:top w:val="none" w:sz="0" w:space="0" w:color="auto"/>
        <w:left w:val="none" w:sz="0" w:space="0" w:color="auto"/>
        <w:bottom w:val="none" w:sz="0" w:space="0" w:color="auto"/>
        <w:right w:val="none" w:sz="0" w:space="0" w:color="auto"/>
      </w:divBdr>
    </w:div>
    <w:div w:id="887227918">
      <w:bodyDiv w:val="1"/>
      <w:marLeft w:val="0"/>
      <w:marRight w:val="0"/>
      <w:marTop w:val="0"/>
      <w:marBottom w:val="0"/>
      <w:divBdr>
        <w:top w:val="none" w:sz="0" w:space="0" w:color="auto"/>
        <w:left w:val="none" w:sz="0" w:space="0" w:color="auto"/>
        <w:bottom w:val="none" w:sz="0" w:space="0" w:color="auto"/>
        <w:right w:val="none" w:sz="0" w:space="0" w:color="auto"/>
      </w:divBdr>
    </w:div>
    <w:div w:id="899823115">
      <w:bodyDiv w:val="1"/>
      <w:marLeft w:val="0"/>
      <w:marRight w:val="0"/>
      <w:marTop w:val="0"/>
      <w:marBottom w:val="0"/>
      <w:divBdr>
        <w:top w:val="none" w:sz="0" w:space="0" w:color="auto"/>
        <w:left w:val="none" w:sz="0" w:space="0" w:color="auto"/>
        <w:bottom w:val="none" w:sz="0" w:space="0" w:color="auto"/>
        <w:right w:val="none" w:sz="0" w:space="0" w:color="auto"/>
      </w:divBdr>
    </w:div>
    <w:div w:id="904756125">
      <w:bodyDiv w:val="1"/>
      <w:marLeft w:val="0"/>
      <w:marRight w:val="0"/>
      <w:marTop w:val="0"/>
      <w:marBottom w:val="0"/>
      <w:divBdr>
        <w:top w:val="none" w:sz="0" w:space="0" w:color="auto"/>
        <w:left w:val="none" w:sz="0" w:space="0" w:color="auto"/>
        <w:bottom w:val="none" w:sz="0" w:space="0" w:color="auto"/>
        <w:right w:val="none" w:sz="0" w:space="0" w:color="auto"/>
      </w:divBdr>
    </w:div>
    <w:div w:id="913851882">
      <w:bodyDiv w:val="1"/>
      <w:marLeft w:val="0"/>
      <w:marRight w:val="0"/>
      <w:marTop w:val="0"/>
      <w:marBottom w:val="0"/>
      <w:divBdr>
        <w:top w:val="none" w:sz="0" w:space="0" w:color="auto"/>
        <w:left w:val="none" w:sz="0" w:space="0" w:color="auto"/>
        <w:bottom w:val="none" w:sz="0" w:space="0" w:color="auto"/>
        <w:right w:val="none" w:sz="0" w:space="0" w:color="auto"/>
      </w:divBdr>
    </w:div>
    <w:div w:id="951132097">
      <w:bodyDiv w:val="1"/>
      <w:marLeft w:val="0"/>
      <w:marRight w:val="0"/>
      <w:marTop w:val="0"/>
      <w:marBottom w:val="0"/>
      <w:divBdr>
        <w:top w:val="none" w:sz="0" w:space="0" w:color="auto"/>
        <w:left w:val="none" w:sz="0" w:space="0" w:color="auto"/>
        <w:bottom w:val="none" w:sz="0" w:space="0" w:color="auto"/>
        <w:right w:val="none" w:sz="0" w:space="0" w:color="auto"/>
      </w:divBdr>
    </w:div>
    <w:div w:id="965114250">
      <w:bodyDiv w:val="1"/>
      <w:marLeft w:val="0"/>
      <w:marRight w:val="0"/>
      <w:marTop w:val="0"/>
      <w:marBottom w:val="0"/>
      <w:divBdr>
        <w:top w:val="none" w:sz="0" w:space="0" w:color="auto"/>
        <w:left w:val="none" w:sz="0" w:space="0" w:color="auto"/>
        <w:bottom w:val="none" w:sz="0" w:space="0" w:color="auto"/>
        <w:right w:val="none" w:sz="0" w:space="0" w:color="auto"/>
      </w:divBdr>
      <w:divsChild>
        <w:div w:id="2100711335">
          <w:marLeft w:val="0"/>
          <w:marRight w:val="0"/>
          <w:marTop w:val="0"/>
          <w:marBottom w:val="0"/>
          <w:divBdr>
            <w:top w:val="none" w:sz="0" w:space="0" w:color="auto"/>
            <w:left w:val="none" w:sz="0" w:space="0" w:color="auto"/>
            <w:bottom w:val="none" w:sz="0" w:space="0" w:color="auto"/>
            <w:right w:val="none" w:sz="0" w:space="0" w:color="auto"/>
          </w:divBdr>
          <w:divsChild>
            <w:div w:id="54277113">
              <w:marLeft w:val="0"/>
              <w:marRight w:val="0"/>
              <w:marTop w:val="0"/>
              <w:marBottom w:val="0"/>
              <w:divBdr>
                <w:top w:val="none" w:sz="0" w:space="0" w:color="auto"/>
                <w:left w:val="none" w:sz="0" w:space="0" w:color="auto"/>
                <w:bottom w:val="none" w:sz="0" w:space="0" w:color="auto"/>
                <w:right w:val="none" w:sz="0" w:space="0" w:color="auto"/>
              </w:divBdr>
              <w:divsChild>
                <w:div w:id="2035765814">
                  <w:marLeft w:val="0"/>
                  <w:marRight w:val="0"/>
                  <w:marTop w:val="0"/>
                  <w:marBottom w:val="0"/>
                  <w:divBdr>
                    <w:top w:val="none" w:sz="0" w:space="0" w:color="auto"/>
                    <w:left w:val="none" w:sz="0" w:space="0" w:color="auto"/>
                    <w:bottom w:val="none" w:sz="0" w:space="0" w:color="auto"/>
                    <w:right w:val="none" w:sz="0" w:space="0" w:color="auto"/>
                  </w:divBdr>
                  <w:divsChild>
                    <w:div w:id="850993981">
                      <w:marLeft w:val="0"/>
                      <w:marRight w:val="0"/>
                      <w:marTop w:val="0"/>
                      <w:marBottom w:val="0"/>
                      <w:divBdr>
                        <w:top w:val="none" w:sz="0" w:space="0" w:color="auto"/>
                        <w:left w:val="none" w:sz="0" w:space="0" w:color="auto"/>
                        <w:bottom w:val="none" w:sz="0" w:space="0" w:color="auto"/>
                        <w:right w:val="none" w:sz="0" w:space="0" w:color="auto"/>
                      </w:divBdr>
                      <w:divsChild>
                        <w:div w:id="885725707">
                          <w:marLeft w:val="0"/>
                          <w:marRight w:val="0"/>
                          <w:marTop w:val="0"/>
                          <w:marBottom w:val="0"/>
                          <w:divBdr>
                            <w:top w:val="none" w:sz="0" w:space="0" w:color="auto"/>
                            <w:left w:val="none" w:sz="0" w:space="0" w:color="auto"/>
                            <w:bottom w:val="none" w:sz="0" w:space="0" w:color="auto"/>
                            <w:right w:val="none" w:sz="0" w:space="0" w:color="auto"/>
                          </w:divBdr>
                          <w:divsChild>
                            <w:div w:id="755326784">
                              <w:marLeft w:val="0"/>
                              <w:marRight w:val="300"/>
                              <w:marTop w:val="180"/>
                              <w:marBottom w:val="0"/>
                              <w:divBdr>
                                <w:top w:val="none" w:sz="0" w:space="0" w:color="auto"/>
                                <w:left w:val="none" w:sz="0" w:space="0" w:color="auto"/>
                                <w:bottom w:val="none" w:sz="0" w:space="0" w:color="auto"/>
                                <w:right w:val="none" w:sz="0" w:space="0" w:color="auto"/>
                              </w:divBdr>
                              <w:divsChild>
                                <w:div w:id="450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407442">
          <w:marLeft w:val="0"/>
          <w:marRight w:val="0"/>
          <w:marTop w:val="0"/>
          <w:marBottom w:val="0"/>
          <w:divBdr>
            <w:top w:val="none" w:sz="0" w:space="0" w:color="auto"/>
            <w:left w:val="none" w:sz="0" w:space="0" w:color="auto"/>
            <w:bottom w:val="none" w:sz="0" w:space="0" w:color="auto"/>
            <w:right w:val="none" w:sz="0" w:space="0" w:color="auto"/>
          </w:divBdr>
          <w:divsChild>
            <w:div w:id="107435233">
              <w:marLeft w:val="0"/>
              <w:marRight w:val="0"/>
              <w:marTop w:val="0"/>
              <w:marBottom w:val="0"/>
              <w:divBdr>
                <w:top w:val="none" w:sz="0" w:space="0" w:color="auto"/>
                <w:left w:val="none" w:sz="0" w:space="0" w:color="auto"/>
                <w:bottom w:val="none" w:sz="0" w:space="0" w:color="auto"/>
                <w:right w:val="none" w:sz="0" w:space="0" w:color="auto"/>
              </w:divBdr>
              <w:divsChild>
                <w:div w:id="341049407">
                  <w:marLeft w:val="0"/>
                  <w:marRight w:val="0"/>
                  <w:marTop w:val="0"/>
                  <w:marBottom w:val="0"/>
                  <w:divBdr>
                    <w:top w:val="none" w:sz="0" w:space="0" w:color="auto"/>
                    <w:left w:val="none" w:sz="0" w:space="0" w:color="auto"/>
                    <w:bottom w:val="none" w:sz="0" w:space="0" w:color="auto"/>
                    <w:right w:val="none" w:sz="0" w:space="0" w:color="auto"/>
                  </w:divBdr>
                  <w:divsChild>
                    <w:div w:id="1164468635">
                      <w:marLeft w:val="0"/>
                      <w:marRight w:val="0"/>
                      <w:marTop w:val="0"/>
                      <w:marBottom w:val="0"/>
                      <w:divBdr>
                        <w:top w:val="none" w:sz="0" w:space="0" w:color="auto"/>
                        <w:left w:val="none" w:sz="0" w:space="0" w:color="auto"/>
                        <w:bottom w:val="none" w:sz="0" w:space="0" w:color="auto"/>
                        <w:right w:val="none" w:sz="0" w:space="0" w:color="auto"/>
                      </w:divBdr>
                      <w:divsChild>
                        <w:div w:id="15093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040233">
      <w:bodyDiv w:val="1"/>
      <w:marLeft w:val="0"/>
      <w:marRight w:val="0"/>
      <w:marTop w:val="0"/>
      <w:marBottom w:val="0"/>
      <w:divBdr>
        <w:top w:val="none" w:sz="0" w:space="0" w:color="auto"/>
        <w:left w:val="none" w:sz="0" w:space="0" w:color="auto"/>
        <w:bottom w:val="none" w:sz="0" w:space="0" w:color="auto"/>
        <w:right w:val="none" w:sz="0" w:space="0" w:color="auto"/>
      </w:divBdr>
    </w:div>
    <w:div w:id="981957970">
      <w:bodyDiv w:val="1"/>
      <w:marLeft w:val="0"/>
      <w:marRight w:val="0"/>
      <w:marTop w:val="0"/>
      <w:marBottom w:val="0"/>
      <w:divBdr>
        <w:top w:val="none" w:sz="0" w:space="0" w:color="auto"/>
        <w:left w:val="none" w:sz="0" w:space="0" w:color="auto"/>
        <w:bottom w:val="none" w:sz="0" w:space="0" w:color="auto"/>
        <w:right w:val="none" w:sz="0" w:space="0" w:color="auto"/>
      </w:divBdr>
    </w:div>
    <w:div w:id="1001549455">
      <w:bodyDiv w:val="1"/>
      <w:marLeft w:val="0"/>
      <w:marRight w:val="0"/>
      <w:marTop w:val="0"/>
      <w:marBottom w:val="0"/>
      <w:divBdr>
        <w:top w:val="none" w:sz="0" w:space="0" w:color="auto"/>
        <w:left w:val="none" w:sz="0" w:space="0" w:color="auto"/>
        <w:bottom w:val="none" w:sz="0" w:space="0" w:color="auto"/>
        <w:right w:val="none" w:sz="0" w:space="0" w:color="auto"/>
      </w:divBdr>
    </w:div>
    <w:div w:id="1012027679">
      <w:bodyDiv w:val="1"/>
      <w:marLeft w:val="0"/>
      <w:marRight w:val="0"/>
      <w:marTop w:val="0"/>
      <w:marBottom w:val="0"/>
      <w:divBdr>
        <w:top w:val="none" w:sz="0" w:space="0" w:color="auto"/>
        <w:left w:val="none" w:sz="0" w:space="0" w:color="auto"/>
        <w:bottom w:val="none" w:sz="0" w:space="0" w:color="auto"/>
        <w:right w:val="none" w:sz="0" w:space="0" w:color="auto"/>
      </w:divBdr>
      <w:divsChild>
        <w:div w:id="945430148">
          <w:marLeft w:val="432"/>
          <w:marRight w:val="0"/>
          <w:marTop w:val="0"/>
          <w:marBottom w:val="0"/>
          <w:divBdr>
            <w:top w:val="none" w:sz="0" w:space="0" w:color="auto"/>
            <w:left w:val="none" w:sz="0" w:space="0" w:color="auto"/>
            <w:bottom w:val="none" w:sz="0" w:space="0" w:color="auto"/>
            <w:right w:val="none" w:sz="0" w:space="0" w:color="auto"/>
          </w:divBdr>
        </w:div>
      </w:divsChild>
    </w:div>
    <w:div w:id="1016537331">
      <w:bodyDiv w:val="1"/>
      <w:marLeft w:val="0"/>
      <w:marRight w:val="0"/>
      <w:marTop w:val="0"/>
      <w:marBottom w:val="0"/>
      <w:divBdr>
        <w:top w:val="none" w:sz="0" w:space="0" w:color="auto"/>
        <w:left w:val="none" w:sz="0" w:space="0" w:color="auto"/>
        <w:bottom w:val="none" w:sz="0" w:space="0" w:color="auto"/>
        <w:right w:val="none" w:sz="0" w:space="0" w:color="auto"/>
      </w:divBdr>
    </w:div>
    <w:div w:id="1104108308">
      <w:bodyDiv w:val="1"/>
      <w:marLeft w:val="0"/>
      <w:marRight w:val="0"/>
      <w:marTop w:val="0"/>
      <w:marBottom w:val="0"/>
      <w:divBdr>
        <w:top w:val="none" w:sz="0" w:space="0" w:color="auto"/>
        <w:left w:val="none" w:sz="0" w:space="0" w:color="auto"/>
        <w:bottom w:val="none" w:sz="0" w:space="0" w:color="auto"/>
        <w:right w:val="none" w:sz="0" w:space="0" w:color="auto"/>
      </w:divBdr>
    </w:div>
    <w:div w:id="1105420115">
      <w:bodyDiv w:val="1"/>
      <w:marLeft w:val="0"/>
      <w:marRight w:val="0"/>
      <w:marTop w:val="0"/>
      <w:marBottom w:val="0"/>
      <w:divBdr>
        <w:top w:val="none" w:sz="0" w:space="0" w:color="auto"/>
        <w:left w:val="none" w:sz="0" w:space="0" w:color="auto"/>
        <w:bottom w:val="none" w:sz="0" w:space="0" w:color="auto"/>
        <w:right w:val="none" w:sz="0" w:space="0" w:color="auto"/>
      </w:divBdr>
    </w:div>
    <w:div w:id="1109203108">
      <w:bodyDiv w:val="1"/>
      <w:marLeft w:val="0"/>
      <w:marRight w:val="0"/>
      <w:marTop w:val="0"/>
      <w:marBottom w:val="0"/>
      <w:divBdr>
        <w:top w:val="none" w:sz="0" w:space="0" w:color="auto"/>
        <w:left w:val="none" w:sz="0" w:space="0" w:color="auto"/>
        <w:bottom w:val="none" w:sz="0" w:space="0" w:color="auto"/>
        <w:right w:val="none" w:sz="0" w:space="0" w:color="auto"/>
      </w:divBdr>
    </w:div>
    <w:div w:id="1207569441">
      <w:bodyDiv w:val="1"/>
      <w:marLeft w:val="0"/>
      <w:marRight w:val="0"/>
      <w:marTop w:val="0"/>
      <w:marBottom w:val="0"/>
      <w:divBdr>
        <w:top w:val="none" w:sz="0" w:space="0" w:color="auto"/>
        <w:left w:val="none" w:sz="0" w:space="0" w:color="auto"/>
        <w:bottom w:val="none" w:sz="0" w:space="0" w:color="auto"/>
        <w:right w:val="none" w:sz="0" w:space="0" w:color="auto"/>
      </w:divBdr>
    </w:div>
    <w:div w:id="1208448951">
      <w:bodyDiv w:val="1"/>
      <w:marLeft w:val="0"/>
      <w:marRight w:val="0"/>
      <w:marTop w:val="0"/>
      <w:marBottom w:val="0"/>
      <w:divBdr>
        <w:top w:val="none" w:sz="0" w:space="0" w:color="auto"/>
        <w:left w:val="none" w:sz="0" w:space="0" w:color="auto"/>
        <w:bottom w:val="none" w:sz="0" w:space="0" w:color="auto"/>
        <w:right w:val="none" w:sz="0" w:space="0" w:color="auto"/>
      </w:divBdr>
      <w:divsChild>
        <w:div w:id="1606574586">
          <w:marLeft w:val="0"/>
          <w:marRight w:val="0"/>
          <w:marTop w:val="0"/>
          <w:marBottom w:val="0"/>
          <w:divBdr>
            <w:top w:val="none" w:sz="0" w:space="0" w:color="auto"/>
            <w:left w:val="none" w:sz="0" w:space="0" w:color="auto"/>
            <w:bottom w:val="none" w:sz="0" w:space="0" w:color="auto"/>
            <w:right w:val="none" w:sz="0" w:space="0" w:color="auto"/>
          </w:divBdr>
          <w:divsChild>
            <w:div w:id="1173952209">
              <w:marLeft w:val="0"/>
              <w:marRight w:val="0"/>
              <w:marTop w:val="0"/>
              <w:marBottom w:val="0"/>
              <w:divBdr>
                <w:top w:val="none" w:sz="0" w:space="0" w:color="auto"/>
                <w:left w:val="none" w:sz="0" w:space="0" w:color="auto"/>
                <w:bottom w:val="none" w:sz="0" w:space="0" w:color="auto"/>
                <w:right w:val="none" w:sz="0" w:space="0" w:color="auto"/>
              </w:divBdr>
              <w:divsChild>
                <w:div w:id="10293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764">
      <w:bodyDiv w:val="1"/>
      <w:marLeft w:val="0"/>
      <w:marRight w:val="0"/>
      <w:marTop w:val="0"/>
      <w:marBottom w:val="0"/>
      <w:divBdr>
        <w:top w:val="none" w:sz="0" w:space="0" w:color="auto"/>
        <w:left w:val="none" w:sz="0" w:space="0" w:color="auto"/>
        <w:bottom w:val="none" w:sz="0" w:space="0" w:color="auto"/>
        <w:right w:val="none" w:sz="0" w:space="0" w:color="auto"/>
      </w:divBdr>
    </w:div>
    <w:div w:id="1245147931">
      <w:bodyDiv w:val="1"/>
      <w:marLeft w:val="0"/>
      <w:marRight w:val="0"/>
      <w:marTop w:val="0"/>
      <w:marBottom w:val="0"/>
      <w:divBdr>
        <w:top w:val="none" w:sz="0" w:space="0" w:color="auto"/>
        <w:left w:val="none" w:sz="0" w:space="0" w:color="auto"/>
        <w:bottom w:val="none" w:sz="0" w:space="0" w:color="auto"/>
        <w:right w:val="none" w:sz="0" w:space="0" w:color="auto"/>
      </w:divBdr>
    </w:div>
    <w:div w:id="1257179758">
      <w:bodyDiv w:val="1"/>
      <w:marLeft w:val="0"/>
      <w:marRight w:val="0"/>
      <w:marTop w:val="0"/>
      <w:marBottom w:val="0"/>
      <w:divBdr>
        <w:top w:val="none" w:sz="0" w:space="0" w:color="auto"/>
        <w:left w:val="none" w:sz="0" w:space="0" w:color="auto"/>
        <w:bottom w:val="none" w:sz="0" w:space="0" w:color="auto"/>
        <w:right w:val="none" w:sz="0" w:space="0" w:color="auto"/>
      </w:divBdr>
    </w:div>
    <w:div w:id="1275669077">
      <w:bodyDiv w:val="1"/>
      <w:marLeft w:val="0"/>
      <w:marRight w:val="0"/>
      <w:marTop w:val="0"/>
      <w:marBottom w:val="0"/>
      <w:divBdr>
        <w:top w:val="none" w:sz="0" w:space="0" w:color="auto"/>
        <w:left w:val="none" w:sz="0" w:space="0" w:color="auto"/>
        <w:bottom w:val="none" w:sz="0" w:space="0" w:color="auto"/>
        <w:right w:val="none" w:sz="0" w:space="0" w:color="auto"/>
      </w:divBdr>
    </w:div>
    <w:div w:id="1312951421">
      <w:bodyDiv w:val="1"/>
      <w:marLeft w:val="0"/>
      <w:marRight w:val="0"/>
      <w:marTop w:val="0"/>
      <w:marBottom w:val="0"/>
      <w:divBdr>
        <w:top w:val="none" w:sz="0" w:space="0" w:color="auto"/>
        <w:left w:val="none" w:sz="0" w:space="0" w:color="auto"/>
        <w:bottom w:val="none" w:sz="0" w:space="0" w:color="auto"/>
        <w:right w:val="none" w:sz="0" w:space="0" w:color="auto"/>
      </w:divBdr>
    </w:div>
    <w:div w:id="1319380708">
      <w:bodyDiv w:val="1"/>
      <w:marLeft w:val="0"/>
      <w:marRight w:val="0"/>
      <w:marTop w:val="0"/>
      <w:marBottom w:val="0"/>
      <w:divBdr>
        <w:top w:val="none" w:sz="0" w:space="0" w:color="auto"/>
        <w:left w:val="none" w:sz="0" w:space="0" w:color="auto"/>
        <w:bottom w:val="none" w:sz="0" w:space="0" w:color="auto"/>
        <w:right w:val="none" w:sz="0" w:space="0" w:color="auto"/>
      </w:divBdr>
    </w:div>
    <w:div w:id="1319766184">
      <w:bodyDiv w:val="1"/>
      <w:marLeft w:val="0"/>
      <w:marRight w:val="0"/>
      <w:marTop w:val="0"/>
      <w:marBottom w:val="0"/>
      <w:divBdr>
        <w:top w:val="none" w:sz="0" w:space="0" w:color="auto"/>
        <w:left w:val="none" w:sz="0" w:space="0" w:color="auto"/>
        <w:bottom w:val="none" w:sz="0" w:space="0" w:color="auto"/>
        <w:right w:val="none" w:sz="0" w:space="0" w:color="auto"/>
      </w:divBdr>
    </w:div>
    <w:div w:id="1326740249">
      <w:bodyDiv w:val="1"/>
      <w:marLeft w:val="0"/>
      <w:marRight w:val="0"/>
      <w:marTop w:val="0"/>
      <w:marBottom w:val="0"/>
      <w:divBdr>
        <w:top w:val="none" w:sz="0" w:space="0" w:color="auto"/>
        <w:left w:val="none" w:sz="0" w:space="0" w:color="auto"/>
        <w:bottom w:val="none" w:sz="0" w:space="0" w:color="auto"/>
        <w:right w:val="none" w:sz="0" w:space="0" w:color="auto"/>
      </w:divBdr>
    </w:div>
    <w:div w:id="1341809954">
      <w:bodyDiv w:val="1"/>
      <w:marLeft w:val="0"/>
      <w:marRight w:val="0"/>
      <w:marTop w:val="0"/>
      <w:marBottom w:val="0"/>
      <w:divBdr>
        <w:top w:val="none" w:sz="0" w:space="0" w:color="auto"/>
        <w:left w:val="none" w:sz="0" w:space="0" w:color="auto"/>
        <w:bottom w:val="none" w:sz="0" w:space="0" w:color="auto"/>
        <w:right w:val="none" w:sz="0" w:space="0" w:color="auto"/>
      </w:divBdr>
    </w:div>
    <w:div w:id="1355880837">
      <w:bodyDiv w:val="1"/>
      <w:marLeft w:val="0"/>
      <w:marRight w:val="0"/>
      <w:marTop w:val="0"/>
      <w:marBottom w:val="0"/>
      <w:divBdr>
        <w:top w:val="none" w:sz="0" w:space="0" w:color="auto"/>
        <w:left w:val="none" w:sz="0" w:space="0" w:color="auto"/>
        <w:bottom w:val="none" w:sz="0" w:space="0" w:color="auto"/>
        <w:right w:val="none" w:sz="0" w:space="0" w:color="auto"/>
      </w:divBdr>
    </w:div>
    <w:div w:id="1367876597">
      <w:bodyDiv w:val="1"/>
      <w:marLeft w:val="0"/>
      <w:marRight w:val="0"/>
      <w:marTop w:val="0"/>
      <w:marBottom w:val="0"/>
      <w:divBdr>
        <w:top w:val="none" w:sz="0" w:space="0" w:color="auto"/>
        <w:left w:val="none" w:sz="0" w:space="0" w:color="auto"/>
        <w:bottom w:val="none" w:sz="0" w:space="0" w:color="auto"/>
        <w:right w:val="none" w:sz="0" w:space="0" w:color="auto"/>
      </w:divBdr>
    </w:div>
    <w:div w:id="1374311807">
      <w:bodyDiv w:val="1"/>
      <w:marLeft w:val="0"/>
      <w:marRight w:val="0"/>
      <w:marTop w:val="0"/>
      <w:marBottom w:val="0"/>
      <w:divBdr>
        <w:top w:val="none" w:sz="0" w:space="0" w:color="auto"/>
        <w:left w:val="none" w:sz="0" w:space="0" w:color="auto"/>
        <w:bottom w:val="none" w:sz="0" w:space="0" w:color="auto"/>
        <w:right w:val="none" w:sz="0" w:space="0" w:color="auto"/>
      </w:divBdr>
    </w:div>
    <w:div w:id="1404141075">
      <w:bodyDiv w:val="1"/>
      <w:marLeft w:val="0"/>
      <w:marRight w:val="0"/>
      <w:marTop w:val="0"/>
      <w:marBottom w:val="0"/>
      <w:divBdr>
        <w:top w:val="none" w:sz="0" w:space="0" w:color="auto"/>
        <w:left w:val="none" w:sz="0" w:space="0" w:color="auto"/>
        <w:bottom w:val="none" w:sz="0" w:space="0" w:color="auto"/>
        <w:right w:val="none" w:sz="0" w:space="0" w:color="auto"/>
      </w:divBdr>
      <w:divsChild>
        <w:div w:id="331299260">
          <w:marLeft w:val="432"/>
          <w:marRight w:val="0"/>
          <w:marTop w:val="0"/>
          <w:marBottom w:val="0"/>
          <w:divBdr>
            <w:top w:val="none" w:sz="0" w:space="0" w:color="auto"/>
            <w:left w:val="none" w:sz="0" w:space="0" w:color="auto"/>
            <w:bottom w:val="none" w:sz="0" w:space="0" w:color="auto"/>
            <w:right w:val="none" w:sz="0" w:space="0" w:color="auto"/>
          </w:divBdr>
        </w:div>
        <w:div w:id="168451871">
          <w:marLeft w:val="432"/>
          <w:marRight w:val="0"/>
          <w:marTop w:val="0"/>
          <w:marBottom w:val="0"/>
          <w:divBdr>
            <w:top w:val="none" w:sz="0" w:space="0" w:color="auto"/>
            <w:left w:val="none" w:sz="0" w:space="0" w:color="auto"/>
            <w:bottom w:val="none" w:sz="0" w:space="0" w:color="auto"/>
            <w:right w:val="none" w:sz="0" w:space="0" w:color="auto"/>
          </w:divBdr>
        </w:div>
        <w:div w:id="519971712">
          <w:marLeft w:val="432"/>
          <w:marRight w:val="0"/>
          <w:marTop w:val="0"/>
          <w:marBottom w:val="0"/>
          <w:divBdr>
            <w:top w:val="none" w:sz="0" w:space="0" w:color="auto"/>
            <w:left w:val="none" w:sz="0" w:space="0" w:color="auto"/>
            <w:bottom w:val="none" w:sz="0" w:space="0" w:color="auto"/>
            <w:right w:val="none" w:sz="0" w:space="0" w:color="auto"/>
          </w:divBdr>
        </w:div>
        <w:div w:id="146824287">
          <w:marLeft w:val="432"/>
          <w:marRight w:val="0"/>
          <w:marTop w:val="0"/>
          <w:marBottom w:val="0"/>
          <w:divBdr>
            <w:top w:val="none" w:sz="0" w:space="0" w:color="auto"/>
            <w:left w:val="none" w:sz="0" w:space="0" w:color="auto"/>
            <w:bottom w:val="none" w:sz="0" w:space="0" w:color="auto"/>
            <w:right w:val="none" w:sz="0" w:space="0" w:color="auto"/>
          </w:divBdr>
        </w:div>
      </w:divsChild>
    </w:div>
    <w:div w:id="1406565267">
      <w:bodyDiv w:val="1"/>
      <w:marLeft w:val="0"/>
      <w:marRight w:val="0"/>
      <w:marTop w:val="0"/>
      <w:marBottom w:val="0"/>
      <w:divBdr>
        <w:top w:val="none" w:sz="0" w:space="0" w:color="auto"/>
        <w:left w:val="none" w:sz="0" w:space="0" w:color="auto"/>
        <w:bottom w:val="none" w:sz="0" w:space="0" w:color="auto"/>
        <w:right w:val="none" w:sz="0" w:space="0" w:color="auto"/>
      </w:divBdr>
    </w:div>
    <w:div w:id="1412239141">
      <w:bodyDiv w:val="1"/>
      <w:marLeft w:val="0"/>
      <w:marRight w:val="0"/>
      <w:marTop w:val="0"/>
      <w:marBottom w:val="0"/>
      <w:divBdr>
        <w:top w:val="none" w:sz="0" w:space="0" w:color="auto"/>
        <w:left w:val="none" w:sz="0" w:space="0" w:color="auto"/>
        <w:bottom w:val="none" w:sz="0" w:space="0" w:color="auto"/>
        <w:right w:val="none" w:sz="0" w:space="0" w:color="auto"/>
      </w:divBdr>
    </w:div>
    <w:div w:id="1457990643">
      <w:bodyDiv w:val="1"/>
      <w:marLeft w:val="0"/>
      <w:marRight w:val="0"/>
      <w:marTop w:val="0"/>
      <w:marBottom w:val="0"/>
      <w:divBdr>
        <w:top w:val="none" w:sz="0" w:space="0" w:color="auto"/>
        <w:left w:val="none" w:sz="0" w:space="0" w:color="auto"/>
        <w:bottom w:val="none" w:sz="0" w:space="0" w:color="auto"/>
        <w:right w:val="none" w:sz="0" w:space="0" w:color="auto"/>
      </w:divBdr>
    </w:div>
    <w:div w:id="1473326233">
      <w:bodyDiv w:val="1"/>
      <w:marLeft w:val="0"/>
      <w:marRight w:val="0"/>
      <w:marTop w:val="0"/>
      <w:marBottom w:val="0"/>
      <w:divBdr>
        <w:top w:val="none" w:sz="0" w:space="0" w:color="auto"/>
        <w:left w:val="none" w:sz="0" w:space="0" w:color="auto"/>
        <w:bottom w:val="none" w:sz="0" w:space="0" w:color="auto"/>
        <w:right w:val="none" w:sz="0" w:space="0" w:color="auto"/>
      </w:divBdr>
    </w:div>
    <w:div w:id="1483888958">
      <w:bodyDiv w:val="1"/>
      <w:marLeft w:val="0"/>
      <w:marRight w:val="0"/>
      <w:marTop w:val="0"/>
      <w:marBottom w:val="0"/>
      <w:divBdr>
        <w:top w:val="none" w:sz="0" w:space="0" w:color="auto"/>
        <w:left w:val="none" w:sz="0" w:space="0" w:color="auto"/>
        <w:bottom w:val="none" w:sz="0" w:space="0" w:color="auto"/>
        <w:right w:val="none" w:sz="0" w:space="0" w:color="auto"/>
      </w:divBdr>
    </w:div>
    <w:div w:id="1486045825">
      <w:bodyDiv w:val="1"/>
      <w:marLeft w:val="0"/>
      <w:marRight w:val="0"/>
      <w:marTop w:val="0"/>
      <w:marBottom w:val="0"/>
      <w:divBdr>
        <w:top w:val="none" w:sz="0" w:space="0" w:color="auto"/>
        <w:left w:val="none" w:sz="0" w:space="0" w:color="auto"/>
        <w:bottom w:val="none" w:sz="0" w:space="0" w:color="auto"/>
        <w:right w:val="none" w:sz="0" w:space="0" w:color="auto"/>
      </w:divBdr>
    </w:div>
    <w:div w:id="1487822710">
      <w:bodyDiv w:val="1"/>
      <w:marLeft w:val="0"/>
      <w:marRight w:val="0"/>
      <w:marTop w:val="0"/>
      <w:marBottom w:val="0"/>
      <w:divBdr>
        <w:top w:val="none" w:sz="0" w:space="0" w:color="auto"/>
        <w:left w:val="none" w:sz="0" w:space="0" w:color="auto"/>
        <w:bottom w:val="none" w:sz="0" w:space="0" w:color="auto"/>
        <w:right w:val="none" w:sz="0" w:space="0" w:color="auto"/>
      </w:divBdr>
      <w:divsChild>
        <w:div w:id="966203102">
          <w:marLeft w:val="360"/>
          <w:marRight w:val="0"/>
          <w:marTop w:val="0"/>
          <w:marBottom w:val="0"/>
          <w:divBdr>
            <w:top w:val="none" w:sz="0" w:space="0" w:color="auto"/>
            <w:left w:val="none" w:sz="0" w:space="0" w:color="auto"/>
            <w:bottom w:val="none" w:sz="0" w:space="0" w:color="auto"/>
            <w:right w:val="none" w:sz="0" w:space="0" w:color="auto"/>
          </w:divBdr>
        </w:div>
      </w:divsChild>
    </w:div>
    <w:div w:id="1507669661">
      <w:bodyDiv w:val="1"/>
      <w:marLeft w:val="0"/>
      <w:marRight w:val="0"/>
      <w:marTop w:val="0"/>
      <w:marBottom w:val="0"/>
      <w:divBdr>
        <w:top w:val="none" w:sz="0" w:space="0" w:color="auto"/>
        <w:left w:val="none" w:sz="0" w:space="0" w:color="auto"/>
        <w:bottom w:val="none" w:sz="0" w:space="0" w:color="auto"/>
        <w:right w:val="none" w:sz="0" w:space="0" w:color="auto"/>
      </w:divBdr>
    </w:div>
    <w:div w:id="1542938810">
      <w:bodyDiv w:val="1"/>
      <w:marLeft w:val="0"/>
      <w:marRight w:val="0"/>
      <w:marTop w:val="0"/>
      <w:marBottom w:val="0"/>
      <w:divBdr>
        <w:top w:val="none" w:sz="0" w:space="0" w:color="auto"/>
        <w:left w:val="none" w:sz="0" w:space="0" w:color="auto"/>
        <w:bottom w:val="none" w:sz="0" w:space="0" w:color="auto"/>
        <w:right w:val="none" w:sz="0" w:space="0" w:color="auto"/>
      </w:divBdr>
      <w:divsChild>
        <w:div w:id="1656299891">
          <w:marLeft w:val="432"/>
          <w:marRight w:val="0"/>
          <w:marTop w:val="0"/>
          <w:marBottom w:val="0"/>
          <w:divBdr>
            <w:top w:val="none" w:sz="0" w:space="0" w:color="auto"/>
            <w:left w:val="none" w:sz="0" w:space="0" w:color="auto"/>
            <w:bottom w:val="none" w:sz="0" w:space="0" w:color="auto"/>
            <w:right w:val="none" w:sz="0" w:space="0" w:color="auto"/>
          </w:divBdr>
        </w:div>
      </w:divsChild>
    </w:div>
    <w:div w:id="1544905085">
      <w:bodyDiv w:val="1"/>
      <w:marLeft w:val="0"/>
      <w:marRight w:val="0"/>
      <w:marTop w:val="0"/>
      <w:marBottom w:val="0"/>
      <w:divBdr>
        <w:top w:val="none" w:sz="0" w:space="0" w:color="auto"/>
        <w:left w:val="none" w:sz="0" w:space="0" w:color="auto"/>
        <w:bottom w:val="none" w:sz="0" w:space="0" w:color="auto"/>
        <w:right w:val="none" w:sz="0" w:space="0" w:color="auto"/>
      </w:divBdr>
    </w:div>
    <w:div w:id="1571043484">
      <w:bodyDiv w:val="1"/>
      <w:marLeft w:val="0"/>
      <w:marRight w:val="0"/>
      <w:marTop w:val="0"/>
      <w:marBottom w:val="0"/>
      <w:divBdr>
        <w:top w:val="none" w:sz="0" w:space="0" w:color="auto"/>
        <w:left w:val="none" w:sz="0" w:space="0" w:color="auto"/>
        <w:bottom w:val="none" w:sz="0" w:space="0" w:color="auto"/>
        <w:right w:val="none" w:sz="0" w:space="0" w:color="auto"/>
      </w:divBdr>
    </w:div>
    <w:div w:id="1601717969">
      <w:bodyDiv w:val="1"/>
      <w:marLeft w:val="0"/>
      <w:marRight w:val="0"/>
      <w:marTop w:val="0"/>
      <w:marBottom w:val="0"/>
      <w:divBdr>
        <w:top w:val="none" w:sz="0" w:space="0" w:color="auto"/>
        <w:left w:val="none" w:sz="0" w:space="0" w:color="auto"/>
        <w:bottom w:val="none" w:sz="0" w:space="0" w:color="auto"/>
        <w:right w:val="none" w:sz="0" w:space="0" w:color="auto"/>
      </w:divBdr>
    </w:div>
    <w:div w:id="1624195927">
      <w:bodyDiv w:val="1"/>
      <w:marLeft w:val="0"/>
      <w:marRight w:val="0"/>
      <w:marTop w:val="0"/>
      <w:marBottom w:val="0"/>
      <w:divBdr>
        <w:top w:val="none" w:sz="0" w:space="0" w:color="auto"/>
        <w:left w:val="none" w:sz="0" w:space="0" w:color="auto"/>
        <w:bottom w:val="none" w:sz="0" w:space="0" w:color="auto"/>
        <w:right w:val="none" w:sz="0" w:space="0" w:color="auto"/>
      </w:divBdr>
    </w:div>
    <w:div w:id="1645234867">
      <w:bodyDiv w:val="1"/>
      <w:marLeft w:val="0"/>
      <w:marRight w:val="0"/>
      <w:marTop w:val="0"/>
      <w:marBottom w:val="0"/>
      <w:divBdr>
        <w:top w:val="none" w:sz="0" w:space="0" w:color="auto"/>
        <w:left w:val="none" w:sz="0" w:space="0" w:color="auto"/>
        <w:bottom w:val="none" w:sz="0" w:space="0" w:color="auto"/>
        <w:right w:val="none" w:sz="0" w:space="0" w:color="auto"/>
      </w:divBdr>
    </w:div>
    <w:div w:id="1699699353">
      <w:bodyDiv w:val="1"/>
      <w:marLeft w:val="0"/>
      <w:marRight w:val="0"/>
      <w:marTop w:val="0"/>
      <w:marBottom w:val="0"/>
      <w:divBdr>
        <w:top w:val="none" w:sz="0" w:space="0" w:color="auto"/>
        <w:left w:val="none" w:sz="0" w:space="0" w:color="auto"/>
        <w:bottom w:val="none" w:sz="0" w:space="0" w:color="auto"/>
        <w:right w:val="none" w:sz="0" w:space="0" w:color="auto"/>
      </w:divBdr>
    </w:div>
    <w:div w:id="1701472776">
      <w:bodyDiv w:val="1"/>
      <w:marLeft w:val="0"/>
      <w:marRight w:val="0"/>
      <w:marTop w:val="0"/>
      <w:marBottom w:val="0"/>
      <w:divBdr>
        <w:top w:val="none" w:sz="0" w:space="0" w:color="auto"/>
        <w:left w:val="none" w:sz="0" w:space="0" w:color="auto"/>
        <w:bottom w:val="none" w:sz="0" w:space="0" w:color="auto"/>
        <w:right w:val="none" w:sz="0" w:space="0" w:color="auto"/>
      </w:divBdr>
    </w:div>
    <w:div w:id="1727754787">
      <w:bodyDiv w:val="1"/>
      <w:marLeft w:val="0"/>
      <w:marRight w:val="0"/>
      <w:marTop w:val="0"/>
      <w:marBottom w:val="0"/>
      <w:divBdr>
        <w:top w:val="none" w:sz="0" w:space="0" w:color="auto"/>
        <w:left w:val="none" w:sz="0" w:space="0" w:color="auto"/>
        <w:bottom w:val="none" w:sz="0" w:space="0" w:color="auto"/>
        <w:right w:val="none" w:sz="0" w:space="0" w:color="auto"/>
      </w:divBdr>
    </w:div>
    <w:div w:id="1730686572">
      <w:bodyDiv w:val="1"/>
      <w:marLeft w:val="0"/>
      <w:marRight w:val="0"/>
      <w:marTop w:val="0"/>
      <w:marBottom w:val="0"/>
      <w:divBdr>
        <w:top w:val="none" w:sz="0" w:space="0" w:color="auto"/>
        <w:left w:val="none" w:sz="0" w:space="0" w:color="auto"/>
        <w:bottom w:val="none" w:sz="0" w:space="0" w:color="auto"/>
        <w:right w:val="none" w:sz="0" w:space="0" w:color="auto"/>
      </w:divBdr>
    </w:div>
    <w:div w:id="1738892371">
      <w:bodyDiv w:val="1"/>
      <w:marLeft w:val="0"/>
      <w:marRight w:val="0"/>
      <w:marTop w:val="0"/>
      <w:marBottom w:val="0"/>
      <w:divBdr>
        <w:top w:val="none" w:sz="0" w:space="0" w:color="auto"/>
        <w:left w:val="none" w:sz="0" w:space="0" w:color="auto"/>
        <w:bottom w:val="none" w:sz="0" w:space="0" w:color="auto"/>
        <w:right w:val="none" w:sz="0" w:space="0" w:color="auto"/>
      </w:divBdr>
    </w:div>
    <w:div w:id="1783918544">
      <w:bodyDiv w:val="1"/>
      <w:marLeft w:val="0"/>
      <w:marRight w:val="0"/>
      <w:marTop w:val="0"/>
      <w:marBottom w:val="0"/>
      <w:divBdr>
        <w:top w:val="none" w:sz="0" w:space="0" w:color="auto"/>
        <w:left w:val="none" w:sz="0" w:space="0" w:color="auto"/>
        <w:bottom w:val="none" w:sz="0" w:space="0" w:color="auto"/>
        <w:right w:val="none" w:sz="0" w:space="0" w:color="auto"/>
      </w:divBdr>
    </w:div>
    <w:div w:id="1783987022">
      <w:bodyDiv w:val="1"/>
      <w:marLeft w:val="0"/>
      <w:marRight w:val="0"/>
      <w:marTop w:val="0"/>
      <w:marBottom w:val="0"/>
      <w:divBdr>
        <w:top w:val="none" w:sz="0" w:space="0" w:color="auto"/>
        <w:left w:val="none" w:sz="0" w:space="0" w:color="auto"/>
        <w:bottom w:val="none" w:sz="0" w:space="0" w:color="auto"/>
        <w:right w:val="none" w:sz="0" w:space="0" w:color="auto"/>
      </w:divBdr>
      <w:divsChild>
        <w:div w:id="1434739925">
          <w:marLeft w:val="432"/>
          <w:marRight w:val="0"/>
          <w:marTop w:val="0"/>
          <w:marBottom w:val="0"/>
          <w:divBdr>
            <w:top w:val="none" w:sz="0" w:space="0" w:color="auto"/>
            <w:left w:val="none" w:sz="0" w:space="0" w:color="auto"/>
            <w:bottom w:val="none" w:sz="0" w:space="0" w:color="auto"/>
            <w:right w:val="none" w:sz="0" w:space="0" w:color="auto"/>
          </w:divBdr>
        </w:div>
        <w:div w:id="107241835">
          <w:marLeft w:val="432"/>
          <w:marRight w:val="0"/>
          <w:marTop w:val="0"/>
          <w:marBottom w:val="0"/>
          <w:divBdr>
            <w:top w:val="none" w:sz="0" w:space="0" w:color="auto"/>
            <w:left w:val="none" w:sz="0" w:space="0" w:color="auto"/>
            <w:bottom w:val="none" w:sz="0" w:space="0" w:color="auto"/>
            <w:right w:val="none" w:sz="0" w:space="0" w:color="auto"/>
          </w:divBdr>
        </w:div>
      </w:divsChild>
    </w:div>
    <w:div w:id="1793940811">
      <w:bodyDiv w:val="1"/>
      <w:marLeft w:val="0"/>
      <w:marRight w:val="0"/>
      <w:marTop w:val="0"/>
      <w:marBottom w:val="0"/>
      <w:divBdr>
        <w:top w:val="none" w:sz="0" w:space="0" w:color="auto"/>
        <w:left w:val="none" w:sz="0" w:space="0" w:color="auto"/>
        <w:bottom w:val="none" w:sz="0" w:space="0" w:color="auto"/>
        <w:right w:val="none" w:sz="0" w:space="0" w:color="auto"/>
      </w:divBdr>
    </w:div>
    <w:div w:id="1813936502">
      <w:bodyDiv w:val="1"/>
      <w:marLeft w:val="0"/>
      <w:marRight w:val="0"/>
      <w:marTop w:val="0"/>
      <w:marBottom w:val="0"/>
      <w:divBdr>
        <w:top w:val="none" w:sz="0" w:space="0" w:color="auto"/>
        <w:left w:val="none" w:sz="0" w:space="0" w:color="auto"/>
        <w:bottom w:val="none" w:sz="0" w:space="0" w:color="auto"/>
        <w:right w:val="none" w:sz="0" w:space="0" w:color="auto"/>
      </w:divBdr>
    </w:div>
    <w:div w:id="1823961494">
      <w:bodyDiv w:val="1"/>
      <w:marLeft w:val="0"/>
      <w:marRight w:val="0"/>
      <w:marTop w:val="0"/>
      <w:marBottom w:val="0"/>
      <w:divBdr>
        <w:top w:val="none" w:sz="0" w:space="0" w:color="auto"/>
        <w:left w:val="none" w:sz="0" w:space="0" w:color="auto"/>
        <w:bottom w:val="none" w:sz="0" w:space="0" w:color="auto"/>
        <w:right w:val="none" w:sz="0" w:space="0" w:color="auto"/>
      </w:divBdr>
    </w:div>
    <w:div w:id="1890453798">
      <w:bodyDiv w:val="1"/>
      <w:marLeft w:val="0"/>
      <w:marRight w:val="0"/>
      <w:marTop w:val="0"/>
      <w:marBottom w:val="0"/>
      <w:divBdr>
        <w:top w:val="none" w:sz="0" w:space="0" w:color="auto"/>
        <w:left w:val="none" w:sz="0" w:space="0" w:color="auto"/>
        <w:bottom w:val="none" w:sz="0" w:space="0" w:color="auto"/>
        <w:right w:val="none" w:sz="0" w:space="0" w:color="auto"/>
      </w:divBdr>
    </w:div>
    <w:div w:id="1926038411">
      <w:bodyDiv w:val="1"/>
      <w:marLeft w:val="0"/>
      <w:marRight w:val="0"/>
      <w:marTop w:val="0"/>
      <w:marBottom w:val="0"/>
      <w:divBdr>
        <w:top w:val="none" w:sz="0" w:space="0" w:color="auto"/>
        <w:left w:val="none" w:sz="0" w:space="0" w:color="auto"/>
        <w:bottom w:val="none" w:sz="0" w:space="0" w:color="auto"/>
        <w:right w:val="none" w:sz="0" w:space="0" w:color="auto"/>
      </w:divBdr>
      <w:divsChild>
        <w:div w:id="2104569992">
          <w:marLeft w:val="360"/>
          <w:marRight w:val="0"/>
          <w:marTop w:val="0"/>
          <w:marBottom w:val="0"/>
          <w:divBdr>
            <w:top w:val="none" w:sz="0" w:space="0" w:color="auto"/>
            <w:left w:val="none" w:sz="0" w:space="0" w:color="auto"/>
            <w:bottom w:val="none" w:sz="0" w:space="0" w:color="auto"/>
            <w:right w:val="none" w:sz="0" w:space="0" w:color="auto"/>
          </w:divBdr>
        </w:div>
      </w:divsChild>
    </w:div>
    <w:div w:id="1971202182">
      <w:bodyDiv w:val="1"/>
      <w:marLeft w:val="0"/>
      <w:marRight w:val="0"/>
      <w:marTop w:val="0"/>
      <w:marBottom w:val="0"/>
      <w:divBdr>
        <w:top w:val="none" w:sz="0" w:space="0" w:color="auto"/>
        <w:left w:val="none" w:sz="0" w:space="0" w:color="auto"/>
        <w:bottom w:val="none" w:sz="0" w:space="0" w:color="auto"/>
        <w:right w:val="none" w:sz="0" w:space="0" w:color="auto"/>
      </w:divBdr>
      <w:divsChild>
        <w:div w:id="2028562072">
          <w:marLeft w:val="144"/>
          <w:marRight w:val="0"/>
          <w:marTop w:val="120"/>
          <w:marBottom w:val="0"/>
          <w:divBdr>
            <w:top w:val="none" w:sz="0" w:space="0" w:color="auto"/>
            <w:left w:val="none" w:sz="0" w:space="0" w:color="auto"/>
            <w:bottom w:val="none" w:sz="0" w:space="0" w:color="auto"/>
            <w:right w:val="none" w:sz="0" w:space="0" w:color="auto"/>
          </w:divBdr>
        </w:div>
        <w:div w:id="2106656115">
          <w:marLeft w:val="432"/>
          <w:marRight w:val="0"/>
          <w:marTop w:val="0"/>
          <w:marBottom w:val="0"/>
          <w:divBdr>
            <w:top w:val="none" w:sz="0" w:space="0" w:color="auto"/>
            <w:left w:val="none" w:sz="0" w:space="0" w:color="auto"/>
            <w:bottom w:val="none" w:sz="0" w:space="0" w:color="auto"/>
            <w:right w:val="none" w:sz="0" w:space="0" w:color="auto"/>
          </w:divBdr>
        </w:div>
        <w:div w:id="2055156339">
          <w:marLeft w:val="432"/>
          <w:marRight w:val="0"/>
          <w:marTop w:val="0"/>
          <w:marBottom w:val="0"/>
          <w:divBdr>
            <w:top w:val="none" w:sz="0" w:space="0" w:color="auto"/>
            <w:left w:val="none" w:sz="0" w:space="0" w:color="auto"/>
            <w:bottom w:val="none" w:sz="0" w:space="0" w:color="auto"/>
            <w:right w:val="none" w:sz="0" w:space="0" w:color="auto"/>
          </w:divBdr>
        </w:div>
        <w:div w:id="1778477787">
          <w:marLeft w:val="144"/>
          <w:marRight w:val="0"/>
          <w:marTop w:val="120"/>
          <w:marBottom w:val="0"/>
          <w:divBdr>
            <w:top w:val="none" w:sz="0" w:space="0" w:color="auto"/>
            <w:left w:val="none" w:sz="0" w:space="0" w:color="auto"/>
            <w:bottom w:val="none" w:sz="0" w:space="0" w:color="auto"/>
            <w:right w:val="none" w:sz="0" w:space="0" w:color="auto"/>
          </w:divBdr>
        </w:div>
        <w:div w:id="1136754307">
          <w:marLeft w:val="432"/>
          <w:marRight w:val="0"/>
          <w:marTop w:val="0"/>
          <w:marBottom w:val="0"/>
          <w:divBdr>
            <w:top w:val="none" w:sz="0" w:space="0" w:color="auto"/>
            <w:left w:val="none" w:sz="0" w:space="0" w:color="auto"/>
            <w:bottom w:val="none" w:sz="0" w:space="0" w:color="auto"/>
            <w:right w:val="none" w:sz="0" w:space="0" w:color="auto"/>
          </w:divBdr>
        </w:div>
        <w:div w:id="1877346294">
          <w:marLeft w:val="432"/>
          <w:marRight w:val="0"/>
          <w:marTop w:val="0"/>
          <w:marBottom w:val="0"/>
          <w:divBdr>
            <w:top w:val="none" w:sz="0" w:space="0" w:color="auto"/>
            <w:left w:val="none" w:sz="0" w:space="0" w:color="auto"/>
            <w:bottom w:val="none" w:sz="0" w:space="0" w:color="auto"/>
            <w:right w:val="none" w:sz="0" w:space="0" w:color="auto"/>
          </w:divBdr>
        </w:div>
        <w:div w:id="209998721">
          <w:marLeft w:val="432"/>
          <w:marRight w:val="0"/>
          <w:marTop w:val="0"/>
          <w:marBottom w:val="0"/>
          <w:divBdr>
            <w:top w:val="none" w:sz="0" w:space="0" w:color="auto"/>
            <w:left w:val="none" w:sz="0" w:space="0" w:color="auto"/>
            <w:bottom w:val="none" w:sz="0" w:space="0" w:color="auto"/>
            <w:right w:val="none" w:sz="0" w:space="0" w:color="auto"/>
          </w:divBdr>
        </w:div>
        <w:div w:id="288513169">
          <w:marLeft w:val="432"/>
          <w:marRight w:val="0"/>
          <w:marTop w:val="0"/>
          <w:marBottom w:val="0"/>
          <w:divBdr>
            <w:top w:val="none" w:sz="0" w:space="0" w:color="auto"/>
            <w:left w:val="none" w:sz="0" w:space="0" w:color="auto"/>
            <w:bottom w:val="none" w:sz="0" w:space="0" w:color="auto"/>
            <w:right w:val="none" w:sz="0" w:space="0" w:color="auto"/>
          </w:divBdr>
        </w:div>
        <w:div w:id="696468550">
          <w:marLeft w:val="144"/>
          <w:marRight w:val="0"/>
          <w:marTop w:val="120"/>
          <w:marBottom w:val="0"/>
          <w:divBdr>
            <w:top w:val="none" w:sz="0" w:space="0" w:color="auto"/>
            <w:left w:val="none" w:sz="0" w:space="0" w:color="auto"/>
            <w:bottom w:val="none" w:sz="0" w:space="0" w:color="auto"/>
            <w:right w:val="none" w:sz="0" w:space="0" w:color="auto"/>
          </w:divBdr>
        </w:div>
        <w:div w:id="2002461151">
          <w:marLeft w:val="144"/>
          <w:marRight w:val="0"/>
          <w:marTop w:val="120"/>
          <w:marBottom w:val="0"/>
          <w:divBdr>
            <w:top w:val="none" w:sz="0" w:space="0" w:color="auto"/>
            <w:left w:val="none" w:sz="0" w:space="0" w:color="auto"/>
            <w:bottom w:val="none" w:sz="0" w:space="0" w:color="auto"/>
            <w:right w:val="none" w:sz="0" w:space="0" w:color="auto"/>
          </w:divBdr>
        </w:div>
        <w:div w:id="453981972">
          <w:marLeft w:val="144"/>
          <w:marRight w:val="0"/>
          <w:marTop w:val="120"/>
          <w:marBottom w:val="0"/>
          <w:divBdr>
            <w:top w:val="none" w:sz="0" w:space="0" w:color="auto"/>
            <w:left w:val="none" w:sz="0" w:space="0" w:color="auto"/>
            <w:bottom w:val="none" w:sz="0" w:space="0" w:color="auto"/>
            <w:right w:val="none" w:sz="0" w:space="0" w:color="auto"/>
          </w:divBdr>
        </w:div>
        <w:div w:id="2045982737">
          <w:marLeft w:val="432"/>
          <w:marRight w:val="0"/>
          <w:marTop w:val="0"/>
          <w:marBottom w:val="0"/>
          <w:divBdr>
            <w:top w:val="none" w:sz="0" w:space="0" w:color="auto"/>
            <w:left w:val="none" w:sz="0" w:space="0" w:color="auto"/>
            <w:bottom w:val="none" w:sz="0" w:space="0" w:color="auto"/>
            <w:right w:val="none" w:sz="0" w:space="0" w:color="auto"/>
          </w:divBdr>
        </w:div>
        <w:div w:id="344596631">
          <w:marLeft w:val="432"/>
          <w:marRight w:val="0"/>
          <w:marTop w:val="0"/>
          <w:marBottom w:val="0"/>
          <w:divBdr>
            <w:top w:val="none" w:sz="0" w:space="0" w:color="auto"/>
            <w:left w:val="none" w:sz="0" w:space="0" w:color="auto"/>
            <w:bottom w:val="none" w:sz="0" w:space="0" w:color="auto"/>
            <w:right w:val="none" w:sz="0" w:space="0" w:color="auto"/>
          </w:divBdr>
        </w:div>
        <w:div w:id="1479373942">
          <w:marLeft w:val="432"/>
          <w:marRight w:val="0"/>
          <w:marTop w:val="0"/>
          <w:marBottom w:val="0"/>
          <w:divBdr>
            <w:top w:val="none" w:sz="0" w:space="0" w:color="auto"/>
            <w:left w:val="none" w:sz="0" w:space="0" w:color="auto"/>
            <w:bottom w:val="none" w:sz="0" w:space="0" w:color="auto"/>
            <w:right w:val="none" w:sz="0" w:space="0" w:color="auto"/>
          </w:divBdr>
        </w:div>
      </w:divsChild>
    </w:div>
    <w:div w:id="1989360207">
      <w:bodyDiv w:val="1"/>
      <w:marLeft w:val="0"/>
      <w:marRight w:val="0"/>
      <w:marTop w:val="0"/>
      <w:marBottom w:val="0"/>
      <w:divBdr>
        <w:top w:val="none" w:sz="0" w:space="0" w:color="auto"/>
        <w:left w:val="none" w:sz="0" w:space="0" w:color="auto"/>
        <w:bottom w:val="none" w:sz="0" w:space="0" w:color="auto"/>
        <w:right w:val="none" w:sz="0" w:space="0" w:color="auto"/>
      </w:divBdr>
    </w:div>
    <w:div w:id="2021739097">
      <w:bodyDiv w:val="1"/>
      <w:marLeft w:val="0"/>
      <w:marRight w:val="0"/>
      <w:marTop w:val="0"/>
      <w:marBottom w:val="0"/>
      <w:divBdr>
        <w:top w:val="none" w:sz="0" w:space="0" w:color="auto"/>
        <w:left w:val="none" w:sz="0" w:space="0" w:color="auto"/>
        <w:bottom w:val="none" w:sz="0" w:space="0" w:color="auto"/>
        <w:right w:val="none" w:sz="0" w:space="0" w:color="auto"/>
      </w:divBdr>
      <w:divsChild>
        <w:div w:id="2032681878">
          <w:marLeft w:val="432"/>
          <w:marRight w:val="0"/>
          <w:marTop w:val="0"/>
          <w:marBottom w:val="0"/>
          <w:divBdr>
            <w:top w:val="none" w:sz="0" w:space="0" w:color="auto"/>
            <w:left w:val="none" w:sz="0" w:space="0" w:color="auto"/>
            <w:bottom w:val="none" w:sz="0" w:space="0" w:color="auto"/>
            <w:right w:val="none" w:sz="0" w:space="0" w:color="auto"/>
          </w:divBdr>
        </w:div>
        <w:div w:id="960065016">
          <w:marLeft w:val="432"/>
          <w:marRight w:val="0"/>
          <w:marTop w:val="0"/>
          <w:marBottom w:val="0"/>
          <w:divBdr>
            <w:top w:val="none" w:sz="0" w:space="0" w:color="auto"/>
            <w:left w:val="none" w:sz="0" w:space="0" w:color="auto"/>
            <w:bottom w:val="none" w:sz="0" w:space="0" w:color="auto"/>
            <w:right w:val="none" w:sz="0" w:space="0" w:color="auto"/>
          </w:divBdr>
        </w:div>
      </w:divsChild>
    </w:div>
    <w:div w:id="2027904703">
      <w:bodyDiv w:val="1"/>
      <w:marLeft w:val="0"/>
      <w:marRight w:val="0"/>
      <w:marTop w:val="0"/>
      <w:marBottom w:val="0"/>
      <w:divBdr>
        <w:top w:val="none" w:sz="0" w:space="0" w:color="auto"/>
        <w:left w:val="none" w:sz="0" w:space="0" w:color="auto"/>
        <w:bottom w:val="none" w:sz="0" w:space="0" w:color="auto"/>
        <w:right w:val="none" w:sz="0" w:space="0" w:color="auto"/>
      </w:divBdr>
    </w:div>
    <w:div w:id="2028167888">
      <w:bodyDiv w:val="1"/>
      <w:marLeft w:val="0"/>
      <w:marRight w:val="0"/>
      <w:marTop w:val="0"/>
      <w:marBottom w:val="0"/>
      <w:divBdr>
        <w:top w:val="none" w:sz="0" w:space="0" w:color="auto"/>
        <w:left w:val="none" w:sz="0" w:space="0" w:color="auto"/>
        <w:bottom w:val="none" w:sz="0" w:space="0" w:color="auto"/>
        <w:right w:val="none" w:sz="0" w:space="0" w:color="auto"/>
      </w:divBdr>
    </w:div>
    <w:div w:id="2034114544">
      <w:bodyDiv w:val="1"/>
      <w:marLeft w:val="0"/>
      <w:marRight w:val="0"/>
      <w:marTop w:val="0"/>
      <w:marBottom w:val="0"/>
      <w:divBdr>
        <w:top w:val="none" w:sz="0" w:space="0" w:color="auto"/>
        <w:left w:val="none" w:sz="0" w:space="0" w:color="auto"/>
        <w:bottom w:val="none" w:sz="0" w:space="0" w:color="auto"/>
        <w:right w:val="none" w:sz="0" w:space="0" w:color="auto"/>
      </w:divBdr>
    </w:div>
    <w:div w:id="2073963002">
      <w:bodyDiv w:val="1"/>
      <w:marLeft w:val="0"/>
      <w:marRight w:val="0"/>
      <w:marTop w:val="0"/>
      <w:marBottom w:val="0"/>
      <w:divBdr>
        <w:top w:val="none" w:sz="0" w:space="0" w:color="auto"/>
        <w:left w:val="none" w:sz="0" w:space="0" w:color="auto"/>
        <w:bottom w:val="none" w:sz="0" w:space="0" w:color="auto"/>
        <w:right w:val="none" w:sz="0" w:space="0" w:color="auto"/>
      </w:divBdr>
    </w:div>
    <w:div w:id="2076009227">
      <w:bodyDiv w:val="1"/>
      <w:marLeft w:val="0"/>
      <w:marRight w:val="0"/>
      <w:marTop w:val="0"/>
      <w:marBottom w:val="0"/>
      <w:divBdr>
        <w:top w:val="none" w:sz="0" w:space="0" w:color="auto"/>
        <w:left w:val="none" w:sz="0" w:space="0" w:color="auto"/>
        <w:bottom w:val="none" w:sz="0" w:space="0" w:color="auto"/>
        <w:right w:val="none" w:sz="0" w:space="0" w:color="auto"/>
      </w:divBdr>
    </w:div>
    <w:div w:id="2104569493">
      <w:bodyDiv w:val="1"/>
      <w:marLeft w:val="0"/>
      <w:marRight w:val="0"/>
      <w:marTop w:val="0"/>
      <w:marBottom w:val="0"/>
      <w:divBdr>
        <w:top w:val="none" w:sz="0" w:space="0" w:color="auto"/>
        <w:left w:val="none" w:sz="0" w:space="0" w:color="auto"/>
        <w:bottom w:val="none" w:sz="0" w:space="0" w:color="auto"/>
        <w:right w:val="none" w:sz="0" w:space="0" w:color="auto"/>
      </w:divBdr>
      <w:divsChild>
        <w:div w:id="1192963355">
          <w:marLeft w:val="432"/>
          <w:marRight w:val="0"/>
          <w:marTop w:val="0"/>
          <w:marBottom w:val="0"/>
          <w:divBdr>
            <w:top w:val="none" w:sz="0" w:space="0" w:color="auto"/>
            <w:left w:val="none" w:sz="0" w:space="0" w:color="auto"/>
            <w:bottom w:val="none" w:sz="0" w:space="0" w:color="auto"/>
            <w:right w:val="none" w:sz="0" w:space="0" w:color="auto"/>
          </w:divBdr>
        </w:div>
      </w:divsChild>
    </w:div>
    <w:div w:id="2118137470">
      <w:bodyDiv w:val="1"/>
      <w:marLeft w:val="0"/>
      <w:marRight w:val="0"/>
      <w:marTop w:val="0"/>
      <w:marBottom w:val="0"/>
      <w:divBdr>
        <w:top w:val="none" w:sz="0" w:space="0" w:color="auto"/>
        <w:left w:val="none" w:sz="0" w:space="0" w:color="auto"/>
        <w:bottom w:val="none" w:sz="0" w:space="0" w:color="auto"/>
        <w:right w:val="none" w:sz="0" w:space="0" w:color="auto"/>
      </w:divBdr>
      <w:divsChild>
        <w:div w:id="918708945">
          <w:marLeft w:val="0"/>
          <w:marRight w:val="0"/>
          <w:marTop w:val="0"/>
          <w:marBottom w:val="0"/>
          <w:divBdr>
            <w:top w:val="none" w:sz="0" w:space="0" w:color="auto"/>
            <w:left w:val="none" w:sz="0" w:space="0" w:color="auto"/>
            <w:bottom w:val="none" w:sz="0" w:space="0" w:color="auto"/>
            <w:right w:val="none" w:sz="0" w:space="0" w:color="auto"/>
          </w:divBdr>
          <w:divsChild>
            <w:div w:id="1632975123">
              <w:marLeft w:val="0"/>
              <w:marRight w:val="0"/>
              <w:marTop w:val="0"/>
              <w:marBottom w:val="0"/>
              <w:divBdr>
                <w:top w:val="none" w:sz="0" w:space="0" w:color="auto"/>
                <w:left w:val="none" w:sz="0" w:space="0" w:color="auto"/>
                <w:bottom w:val="none" w:sz="0" w:space="0" w:color="auto"/>
                <w:right w:val="none" w:sz="0" w:space="0" w:color="auto"/>
              </w:divBdr>
              <w:divsChild>
                <w:div w:id="19813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ace.com/Investors/financial-results-and-repor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ofa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5E7F4-1ED3-4C22-9F87-18CD6DB4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Pages>
  <Words>2832</Words>
  <Characters>15580</Characters>
  <Application>Microsoft Office Word</Application>
  <DocSecurity>0</DocSecurity>
  <Lines>129</Lines>
  <Paragraphs>36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Coface results 30 September 2020</vt:lpstr>
      <vt:lpstr>Coface results 30 September 2020</vt:lpstr>
      <vt:lpstr>Paris, 21 janvier 2013</vt:lpstr>
    </vt:vector>
  </TitlesOfParts>
  <Company>Coface</Company>
  <LinksUpToDate>false</LinksUpToDate>
  <CharactersWithSpaces>18376</CharactersWithSpaces>
  <SharedDoc>false</SharedDoc>
  <HLinks>
    <vt:vector size="24" baseType="variant">
      <vt:variant>
        <vt:i4>2293813</vt:i4>
      </vt:variant>
      <vt:variant>
        <vt:i4>15</vt:i4>
      </vt:variant>
      <vt:variant>
        <vt:i4>0</vt:i4>
      </vt:variant>
      <vt:variant>
        <vt:i4>5</vt:i4>
      </vt:variant>
      <vt:variant>
        <vt:lpwstr>http://www.coface.com/</vt:lpwstr>
      </vt:variant>
      <vt:variant>
        <vt:lpwstr/>
      </vt:variant>
      <vt:variant>
        <vt:i4>3473423</vt:i4>
      </vt:variant>
      <vt:variant>
        <vt:i4>12</vt:i4>
      </vt:variant>
      <vt:variant>
        <vt:i4>0</vt:i4>
      </vt:variant>
      <vt:variant>
        <vt:i4>5</vt:i4>
      </vt:variant>
      <vt:variant>
        <vt:lpwstr>mailto:investors@coface.com</vt:lpwstr>
      </vt:variant>
      <vt:variant>
        <vt:lpwstr/>
      </vt:variant>
      <vt:variant>
        <vt:i4>2621512</vt:i4>
      </vt:variant>
      <vt:variant>
        <vt:i4>9</vt:i4>
      </vt:variant>
      <vt:variant>
        <vt:i4>0</vt:i4>
      </vt:variant>
      <vt:variant>
        <vt:i4>5</vt:i4>
      </vt:variant>
      <vt:variant>
        <vt:lpwstr>mailto:maria.krellenstein@coface.com</vt:lpwstr>
      </vt:variant>
      <vt:variant>
        <vt:lpwstr/>
      </vt:variant>
      <vt:variant>
        <vt:i4>655472</vt:i4>
      </vt:variant>
      <vt:variant>
        <vt:i4>6</vt:i4>
      </vt:variant>
      <vt:variant>
        <vt:i4>0</vt:i4>
      </vt:variant>
      <vt:variant>
        <vt:i4>5</vt:i4>
      </vt:variant>
      <vt:variant>
        <vt:lpwstr>mailto:monica.coull@coface.com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Coface results 30 September 2020</dc:title>
  <dc:creator>benoit.chastel@coface.com</dc:creator>
  <cp:lastModifiedBy>BRIGHENTI Clara</cp:lastModifiedBy>
  <cp:revision>6</cp:revision>
  <cp:lastPrinted>2020-10-27T23:24:00Z</cp:lastPrinted>
  <dcterms:created xsi:type="dcterms:W3CDTF">2020-10-28T15:35:00Z</dcterms:created>
  <dcterms:modified xsi:type="dcterms:W3CDTF">2020-10-28T18:18:00Z</dcterms:modified>
</cp:coreProperties>
</file>